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800"/>
      </w:pPr>
    </w:p>
    <w:p>
      <w:pPr>
        <w:jc w:val="center"/>
      </w:pPr>
      <w:r>
        <w:rPr>
          <w:b/>
          <w:bCs/>
          <w:color w:val="1A1A1A"/>
          <w:sz w:val="56"/>
          <w:szCs w:val="56"/>
        </w:rPr>
        <w:t xml:space="preserve">Battery Pack Thermal Digital Twin</w:t>
      </w:r>
    </w:p>
    <w:p>
      <w:pPr>
        <w:spacing w:before="120"/>
        <w:jc w:val="center"/>
      </w:pPr>
      <w:r>
        <w:rPr>
          <w:color w:val="B7410E"/>
          <w:sz w:val="32"/>
          <w:szCs w:val="32"/>
        </w:rPr>
        <w:t xml:space="preserve">Phase 0: Differentiable Ground-Truth Solver in NVIDIA Warp</w:t>
      </w:r>
    </w:p>
    <w:p>
      <w:pPr>
        <w:spacing w:before="400"/>
        <w:jc w:val="center"/>
      </w:pPr>
      <w:r>
        <w:rPr>
          <w:color w:val="666666"/>
          <w:sz w:val="24"/>
          <w:szCs w:val="24"/>
        </w:rPr>
        <w:t xml:space="preserve">Engineering Report</w:t>
      </w:r>
    </w:p>
    <w:p>
      <w:pPr>
        <w:spacing w:before="120"/>
        <w:jc w:val="center"/>
      </w:pPr>
      <w:r>
        <w:rPr>
          <w:color w:val="666666"/>
          <w:sz w:val="22"/>
          <w:szCs w:val="22"/>
        </w:rPr>
        <w:t xml:space="preserve">By Majid Mazouchi · Drafted with Claude</w:t>
      </w:r>
    </w:p>
    <w:p>
      <w:pPr>
        <w:spacing w:before="80"/>
        <w:jc w:val="center"/>
      </w:pPr>
      <w:r>
        <w:rPr>
          <w:color w:val="666666"/>
          <w:sz w:val="22"/>
          <w:szCs w:val="22"/>
        </w:rPr>
        <w:t xml:space="preserve">July 16, 2026</w:t>
      </w:r>
    </w:p>
    <w:p>
      <w:r>
        <w:br w:type="page"/>
      </w:r>
    </w:p>
    <w:p>
      <w:pPr>
        <w:pStyle w:val="Heading1"/>
        <w:spacing w:after="200" w:before="360"/>
      </w:pPr>
      <w:r>
        <w:t xml:space="preserve">Contents</w:t>
      </w:r>
    </w:p>
    <w:sdt>
      <w:sdtPr>
        <w:alias w:val="Contents"/>
      </w:sdtPr>
      <w:sdtContent>
        <w:p>
          <w:r>
            <w:fldChar w:fldCharType="begin" w:dirty="true"/>
            <w:instrText xml:space="preserve">TOC \h \o "1-2"</w:instrText>
            <w:fldChar w:fldCharType="separate"/>
          </w:r>
        </w:p>
        <w:p>
          <w:r>
            <w:fldChar w:fldCharType="end"/>
          </w:r>
        </w:p>
      </w:sdtContent>
    </w:sdt>
    <w:p>
      <w:r>
        <w:br w:type="page"/>
      </w:r>
    </w:p>
    <w:p>
      <w:pPr>
        <w:pStyle w:val="Heading1"/>
        <w:spacing w:after="200" w:before="360"/>
      </w:pPr>
      <w:r>
        <w:t xml:space="preserve">1. Executive Summary</w:t>
      </w:r>
    </w:p>
    <w:p>
      <w:pPr>
        <w:spacing w:after="160" w:line="300"/>
      </w:pPr>
      <w:r>
        <w:rPr>
          <w:color w:val="1A1A1A"/>
          <w:sz w:val="22"/>
          <w:szCs w:val="22"/>
        </w:rPr>
        <w:t xml:space="preserve">This report documents Phase 0 of a four-phase program to build a physics-ML thermal digital twin for an EV battery pack, targeting Vehicle Health Management (VHM) applications: cooling degradation detection, thermal fault isolation, and early identification of thermal runaway precursors. Phase 0 delivers the ground-truth data generation layer: a fully differentiable 3D transient thermal solver for a liquid-cooled prismatic pack, written end to end in NVIDIA Warp kernels.</w:t>
      </w:r>
    </w:p>
    <w:p>
      <w:pPr>
        <w:spacing w:after="160" w:line="300"/>
      </w:pPr>
      <w:r>
        <w:rPr>
          <w:color w:val="1A1A1A"/>
          <w:sz w:val="22"/>
          <w:szCs w:val="22"/>
        </w:rPr>
        <w:t xml:space="preserve">Two results validate the deliverable. First, the forward solver generates labeled nominal and fault scenarios at roughly 4 seconds per 300-second drive cycle on CPU (50,400 voxels, 1,500 time steps), fast enough to build operator-learning corpora without a cluster. Second, the differentiability claim is proven by an inverse experiment: backpropagating a sensor-mismatch loss through a complete 240-step rollout recovers a 3x internal-resistance fault on one cell to 0.4 percent relative error, from 12 noisy snapshots of 6 surface thermocouples, in 9 seconds of optimization. Healthy cells remain at nominal resistance, demonstrating fault isolation, not just detection.</w:t>
      </w:r>
    </w:p>
    <w:p>
      <w:pPr>
        <w:spacing w:after="160" w:line="300"/>
      </w:pPr>
      <w:r>
        <w:rPr>
          <w:color w:val="1A1A1A"/>
          <w:sz w:val="22"/>
          <w:szCs w:val="22"/>
        </w:rPr>
        <w:t xml:space="preserve">The package includes one-command pipelines for Windows (run_all.bat) and Linux/WSL (run_all.sh) that install dependencies, generate data, run the inverse demo, render figures, and gate on an automated verification script (11 of 11 checks passing at time of writing).</w:t>
      </w:r>
    </w:p>
    <w:p>
      <w:pPr>
        <w:pStyle w:val="Heading1"/>
        <w:spacing w:after="200" w:before="360"/>
      </w:pPr>
      <w:r>
        <w:t xml:space="preserve">2. Program Context and Scope Decisions</w:t>
      </w:r>
    </w:p>
    <w:p>
      <w:pPr>
        <w:spacing w:after="160" w:line="300"/>
      </w:pPr>
      <w:r>
        <w:rPr>
          <w:color w:val="1A1A1A"/>
          <w:sz w:val="22"/>
          <w:szCs w:val="22"/>
        </w:rPr>
        <w:t xml:space="preserve">Phase 0 sits at the base of a four-phase architecture in which three model families each answer a different question about the same pack:</w:t>
      </w:r>
    </w:p>
    <w:tbl>
      <w:tblPr>
        <w:tblW w:type="dxa" w:w="9600"/>
        <w:tblBorders>
          <w:top w:val="single" w:color="auto" w:sz="4"/>
          <w:left w:val="single" w:color="auto" w:sz="4"/>
          <w:bottom w:val="single" w:color="auto" w:sz="4"/>
          <w:right w:val="single" w:color="auto" w:sz="4"/>
          <w:insideH w:val="single" w:color="auto" w:sz="4"/>
          <w:insideV w:val="single" w:color="auto" w:sz="4"/>
        </w:tblBorders>
      </w:tblPr>
      <w:tblGrid>
        <w:gridCol w:w="700"/>
        <w:gridCol w:w="2600"/>
        <w:gridCol w:w="3100"/>
        <w:gridCol w:w="3200"/>
      </w:tblGrid>
      <w:tr>
        <w:tc>
          <w:tcPr>
            <w:tcW w:type="dxa" w:w="700"/>
            <w:shd w:fill="EFE9DD" w:val="clear"/>
            <w:tcMar>
              <w:top w:type="dxa" w:w="60"/>
              <w:left w:type="dxa" w:w="100"/>
              <w:bottom w:type="dxa" w:w="60"/>
              <w:right w:type="dxa" w:w="100"/>
            </w:tcMar>
          </w:tcPr>
          <w:p>
            <w:r>
              <w:rPr>
                <w:b/>
                <w:bCs/>
                <w:color w:val="1A1A1A"/>
                <w:sz w:val="19"/>
                <w:szCs w:val="19"/>
              </w:rPr>
              <w:t xml:space="preserve">Phase</w:t>
            </w:r>
          </w:p>
        </w:tc>
        <w:tc>
          <w:tcPr>
            <w:tcW w:type="dxa" w:w="2600"/>
            <w:shd w:fill="EFE9DD" w:val="clear"/>
            <w:tcMar>
              <w:top w:type="dxa" w:w="60"/>
              <w:left w:type="dxa" w:w="100"/>
              <w:bottom w:type="dxa" w:w="60"/>
              <w:right w:type="dxa" w:w="100"/>
            </w:tcMar>
          </w:tcPr>
          <w:p>
            <w:r>
              <w:rPr>
                <w:b/>
                <w:bCs/>
                <w:color w:val="1A1A1A"/>
                <w:sz w:val="19"/>
                <w:szCs w:val="19"/>
              </w:rPr>
              <w:t xml:space="preserve">Model family</w:t>
            </w:r>
          </w:p>
        </w:tc>
        <w:tc>
          <w:tcPr>
            <w:tcW w:type="dxa" w:w="3100"/>
            <w:shd w:fill="EFE9DD" w:val="clear"/>
            <w:tcMar>
              <w:top w:type="dxa" w:w="60"/>
              <w:left w:type="dxa" w:w="100"/>
              <w:bottom w:type="dxa" w:w="60"/>
              <w:right w:type="dxa" w:w="100"/>
            </w:tcMar>
          </w:tcPr>
          <w:p>
            <w:r>
              <w:rPr>
                <w:b/>
                <w:bCs/>
                <w:color w:val="1A1A1A"/>
                <w:sz w:val="19"/>
                <w:szCs w:val="19"/>
              </w:rPr>
              <w:t xml:space="preserve">Question it answers</w:t>
            </w:r>
          </w:p>
        </w:tc>
        <w:tc>
          <w:tcPr>
            <w:tcW w:type="dxa" w:w="3200"/>
            <w:shd w:fill="EFE9DD" w:val="clear"/>
            <w:tcMar>
              <w:top w:type="dxa" w:w="60"/>
              <w:left w:type="dxa" w:w="100"/>
              <w:bottom w:type="dxa" w:w="60"/>
              <w:right w:type="dxa" w:w="100"/>
            </w:tcMar>
          </w:tcPr>
          <w:p>
            <w:r>
              <w:rPr>
                <w:b/>
                <w:bCs/>
                <w:color w:val="1A1A1A"/>
                <w:sz w:val="19"/>
                <w:szCs w:val="19"/>
              </w:rPr>
              <w:t xml:space="preserve">VHM deliverable</w:t>
            </w:r>
          </w:p>
        </w:tc>
      </w:tr>
      <w:tr>
        <w:tc>
          <w:tcPr>
            <w:tcW w:type="dxa" w:w="700"/>
            <w:tcMar>
              <w:top w:type="dxa" w:w="60"/>
              <w:left w:type="dxa" w:w="100"/>
              <w:bottom w:type="dxa" w:w="60"/>
              <w:right w:type="dxa" w:w="100"/>
            </w:tcMar>
          </w:tcPr>
          <w:p>
            <w:r>
              <w:rPr>
                <w:b w:val="false"/>
                <w:bCs w:val="false"/>
                <w:color w:val="1A1A1A"/>
                <w:sz w:val="19"/>
                <w:szCs w:val="19"/>
              </w:rPr>
              <w:t xml:space="preserve">0</w:t>
            </w:r>
          </w:p>
        </w:tc>
        <w:tc>
          <w:tcPr>
            <w:tcW w:type="dxa" w:w="2600"/>
            <w:tcMar>
              <w:top w:type="dxa" w:w="60"/>
              <w:left w:type="dxa" w:w="100"/>
              <w:bottom w:type="dxa" w:w="60"/>
              <w:right w:type="dxa" w:w="100"/>
            </w:tcMar>
          </w:tcPr>
          <w:p>
            <w:r>
              <w:rPr>
                <w:b w:val="false"/>
                <w:bCs w:val="false"/>
                <w:color w:val="1A1A1A"/>
                <w:sz w:val="19"/>
                <w:szCs w:val="19"/>
              </w:rPr>
              <w:t xml:space="preserve">Differentiable Warp solver</w:t>
            </w:r>
          </w:p>
        </w:tc>
        <w:tc>
          <w:tcPr>
            <w:tcW w:type="dxa" w:w="3100"/>
            <w:tcMar>
              <w:top w:type="dxa" w:w="60"/>
              <w:left w:type="dxa" w:w="100"/>
              <w:bottom w:type="dxa" w:w="60"/>
              <w:right w:type="dxa" w:w="100"/>
            </w:tcMar>
          </w:tcPr>
          <w:p>
            <w:r>
              <w:rPr>
                <w:b w:val="false"/>
                <w:bCs w:val="false"/>
                <w:color w:val="1A1A1A"/>
                <w:sz w:val="19"/>
                <w:szCs w:val="19"/>
              </w:rPr>
              <w:t xml:space="preserve">What is the ground truth?</w:t>
            </w:r>
          </w:p>
        </w:tc>
        <w:tc>
          <w:tcPr>
            <w:tcW w:type="dxa" w:w="3200"/>
            <w:tcMar>
              <w:top w:type="dxa" w:w="60"/>
              <w:left w:type="dxa" w:w="100"/>
              <w:bottom w:type="dxa" w:w="60"/>
              <w:right w:type="dxa" w:w="100"/>
            </w:tcMar>
          </w:tcPr>
          <w:p>
            <w:r>
              <w:rPr>
                <w:b w:val="false"/>
                <w:bCs w:val="false"/>
                <w:color w:val="1A1A1A"/>
                <w:sz w:val="19"/>
                <w:szCs w:val="19"/>
              </w:rPr>
              <w:t xml:space="preserve">Labeled nominal and fault corpus, numerical adjoint</w:t>
            </w:r>
          </w:p>
        </w:tc>
      </w:tr>
      <w:tr>
        <w:tc>
          <w:tcPr>
            <w:tcW w:type="dxa" w:w="700"/>
            <w:tcMar>
              <w:top w:type="dxa" w:w="60"/>
              <w:left w:type="dxa" w:w="100"/>
              <w:bottom w:type="dxa" w:w="60"/>
              <w:right w:type="dxa" w:w="100"/>
            </w:tcMar>
          </w:tcPr>
          <w:p>
            <w:r>
              <w:rPr>
                <w:b w:val="false"/>
                <w:bCs w:val="false"/>
                <w:color w:val="1A1A1A"/>
                <w:sz w:val="19"/>
                <w:szCs w:val="19"/>
              </w:rPr>
              <w:t xml:space="preserve">1</w:t>
            </w:r>
          </w:p>
        </w:tc>
        <w:tc>
          <w:tcPr>
            <w:tcW w:type="dxa" w:w="2600"/>
            <w:tcMar>
              <w:top w:type="dxa" w:w="60"/>
              <w:left w:type="dxa" w:w="100"/>
              <w:bottom w:type="dxa" w:w="60"/>
              <w:right w:type="dxa" w:w="100"/>
            </w:tcMar>
          </w:tcPr>
          <w:p>
            <w:r>
              <w:rPr>
                <w:b w:val="false"/>
                <w:bCs w:val="false"/>
                <w:color w:val="1A1A1A"/>
                <w:sz w:val="19"/>
                <w:szCs w:val="19"/>
              </w:rPr>
              <w:t xml:space="preserve">PINN (physicsnemo.sym)</w:t>
            </w:r>
          </w:p>
        </w:tc>
        <w:tc>
          <w:tcPr>
            <w:tcW w:type="dxa" w:w="3100"/>
            <w:tcMar>
              <w:top w:type="dxa" w:w="60"/>
              <w:left w:type="dxa" w:w="100"/>
              <w:bottom w:type="dxa" w:w="60"/>
              <w:right w:type="dxa" w:w="100"/>
            </w:tcMar>
          </w:tcPr>
          <w:p>
            <w:r>
              <w:rPr>
                <w:b w:val="false"/>
                <w:bCs w:val="false"/>
                <w:color w:val="1A1A1A"/>
                <w:sz w:val="19"/>
                <w:szCs w:val="19"/>
              </w:rPr>
              <w:t xml:space="preserve">Can physics constraints replace data?</w:t>
            </w:r>
          </w:p>
        </w:tc>
        <w:tc>
          <w:tcPr>
            <w:tcW w:type="dxa" w:w="3200"/>
            <w:tcMar>
              <w:top w:type="dxa" w:w="60"/>
              <w:left w:type="dxa" w:w="100"/>
              <w:bottom w:type="dxa" w:w="60"/>
              <w:right w:type="dxa" w:w="100"/>
            </w:tcMar>
          </w:tcPr>
          <w:p>
            <w:r>
              <w:rPr>
                <w:b w:val="false"/>
                <w:bCs w:val="false"/>
                <w:color w:val="1A1A1A"/>
                <w:sz w:val="19"/>
                <w:szCs w:val="19"/>
              </w:rPr>
              <w:t xml:space="preserve">Inverse estimation of R_int and contact resistance from sparse sensors</w:t>
            </w:r>
          </w:p>
        </w:tc>
      </w:tr>
      <w:tr>
        <w:tc>
          <w:tcPr>
            <w:tcW w:type="dxa" w:w="700"/>
            <w:tcMar>
              <w:top w:type="dxa" w:w="60"/>
              <w:left w:type="dxa" w:w="100"/>
              <w:bottom w:type="dxa" w:w="60"/>
              <w:right w:type="dxa" w:w="100"/>
            </w:tcMar>
          </w:tcPr>
          <w:p>
            <w:r>
              <w:rPr>
                <w:b w:val="false"/>
                <w:bCs w:val="false"/>
                <w:color w:val="1A1A1A"/>
                <w:sz w:val="19"/>
                <w:szCs w:val="19"/>
              </w:rPr>
              <w:t xml:space="preserve">2</w:t>
            </w:r>
          </w:p>
        </w:tc>
        <w:tc>
          <w:tcPr>
            <w:tcW w:type="dxa" w:w="2600"/>
            <w:tcMar>
              <w:top w:type="dxa" w:w="60"/>
              <w:left w:type="dxa" w:w="100"/>
              <w:bottom w:type="dxa" w:w="60"/>
              <w:right w:type="dxa" w:w="100"/>
            </w:tcMar>
          </w:tcPr>
          <w:p>
            <w:r>
              <w:rPr>
                <w:b w:val="false"/>
                <w:bCs w:val="false"/>
                <w:color w:val="1A1A1A"/>
                <w:sz w:val="19"/>
                <w:szCs w:val="19"/>
              </w:rPr>
              <w:t xml:space="preserve">KNO (FNO baseline)</w:t>
            </w:r>
          </w:p>
        </w:tc>
        <w:tc>
          <w:tcPr>
            <w:tcW w:type="dxa" w:w="3100"/>
            <w:tcMar>
              <w:top w:type="dxa" w:w="60"/>
              <w:left w:type="dxa" w:w="100"/>
              <w:bottom w:type="dxa" w:w="60"/>
              <w:right w:type="dxa" w:w="100"/>
            </w:tcMar>
          </w:tcPr>
          <w:p>
            <w:r>
              <w:rPr>
                <w:b w:val="false"/>
                <w:bCs w:val="false"/>
                <w:color w:val="1A1A1A"/>
                <w:sz w:val="19"/>
                <w:szCs w:val="19"/>
              </w:rPr>
              <w:t xml:space="preserve">Can we roll out the field fast and interpretably?</w:t>
            </w:r>
          </w:p>
        </w:tc>
        <w:tc>
          <w:tcPr>
            <w:tcW w:type="dxa" w:w="3200"/>
            <w:tcMar>
              <w:top w:type="dxa" w:w="60"/>
              <w:left w:type="dxa" w:w="100"/>
              <w:bottom w:type="dxa" w:w="60"/>
              <w:right w:type="dxa" w:w="100"/>
            </w:tcMar>
          </w:tcPr>
          <w:p>
            <w:r>
              <w:rPr>
                <w:b w:val="false"/>
                <w:bCs w:val="false"/>
                <w:color w:val="1A1A1A"/>
                <w:sz w:val="19"/>
                <w:szCs w:val="19"/>
              </w:rPr>
              <w:t xml:space="preserve">Real-time surrogate plus Koopman eigenvalue health features</w:t>
            </w:r>
          </w:p>
        </w:tc>
      </w:tr>
      <w:tr>
        <w:tc>
          <w:tcPr>
            <w:tcW w:type="dxa" w:w="700"/>
            <w:tcMar>
              <w:top w:type="dxa" w:w="60"/>
              <w:left w:type="dxa" w:w="100"/>
              <w:bottom w:type="dxa" w:w="60"/>
              <w:right w:type="dxa" w:w="100"/>
            </w:tcMar>
          </w:tcPr>
          <w:p>
            <w:r>
              <w:rPr>
                <w:b w:val="false"/>
                <w:bCs w:val="false"/>
                <w:color w:val="1A1A1A"/>
                <w:sz w:val="19"/>
                <w:szCs w:val="19"/>
              </w:rPr>
              <w:t xml:space="preserve">3</w:t>
            </w:r>
          </w:p>
        </w:tc>
        <w:tc>
          <w:tcPr>
            <w:tcW w:type="dxa" w:w="2600"/>
            <w:tcMar>
              <w:top w:type="dxa" w:w="60"/>
              <w:left w:type="dxa" w:w="100"/>
              <w:bottom w:type="dxa" w:w="60"/>
              <w:right w:type="dxa" w:w="100"/>
            </w:tcMar>
          </w:tcPr>
          <w:p>
            <w:r>
              <w:rPr>
                <w:b w:val="false"/>
                <w:bCs w:val="false"/>
                <w:color w:val="1A1A1A"/>
                <w:sz w:val="19"/>
                <w:szCs w:val="19"/>
              </w:rPr>
              <w:t xml:space="preserve">MeshGraphNet (GNN)</w:t>
            </w:r>
          </w:p>
        </w:tc>
        <w:tc>
          <w:tcPr>
            <w:tcW w:type="dxa" w:w="3100"/>
            <w:tcMar>
              <w:top w:type="dxa" w:w="60"/>
              <w:left w:type="dxa" w:w="100"/>
              <w:bottom w:type="dxa" w:w="60"/>
              <w:right w:type="dxa" w:w="100"/>
            </w:tcMar>
          </w:tcPr>
          <w:p>
            <w:r>
              <w:rPr>
                <w:b w:val="false"/>
                <w:bCs w:val="false"/>
                <w:color w:val="1A1A1A"/>
                <w:sz w:val="19"/>
                <w:szCs w:val="19"/>
              </w:rPr>
              <w:t xml:space="preserve">Does it generalize across pack configurations?</w:t>
            </w:r>
          </w:p>
        </w:tc>
        <w:tc>
          <w:tcPr>
            <w:tcW w:type="dxa" w:w="3200"/>
            <w:tcMar>
              <w:top w:type="dxa" w:w="60"/>
              <w:left w:type="dxa" w:w="100"/>
              <w:bottom w:type="dxa" w:w="60"/>
              <w:right w:type="dxa" w:w="100"/>
            </w:tcMar>
          </w:tcPr>
          <w:p>
            <w:r>
              <w:rPr>
                <w:b w:val="false"/>
                <w:bCs w:val="false"/>
                <w:color w:val="1A1A1A"/>
                <w:sz w:val="19"/>
                <w:szCs w:val="19"/>
              </w:rPr>
              <w:t xml:space="preserve">Topology-aware surrogate transferable between layouts</w:t>
            </w:r>
          </w:p>
        </w:tc>
      </w:tr>
      <w:tr>
        <w:tc>
          <w:tcPr>
            <w:tcW w:type="dxa" w:w="700"/>
            <w:tcMar>
              <w:top w:type="dxa" w:w="60"/>
              <w:left w:type="dxa" w:w="100"/>
              <w:bottom w:type="dxa" w:w="60"/>
              <w:right w:type="dxa" w:w="100"/>
            </w:tcMar>
          </w:tcPr>
          <w:p>
            <w:r>
              <w:rPr>
                <w:b w:val="false"/>
                <w:bCs w:val="false"/>
                <w:color w:val="1A1A1A"/>
                <w:sz w:val="19"/>
                <w:szCs w:val="19"/>
              </w:rPr>
              <w:t xml:space="preserve">4</w:t>
            </w:r>
          </w:p>
        </w:tc>
        <w:tc>
          <w:tcPr>
            <w:tcW w:type="dxa" w:w="2600"/>
            <w:tcMar>
              <w:top w:type="dxa" w:w="60"/>
              <w:left w:type="dxa" w:w="100"/>
              <w:bottom w:type="dxa" w:w="60"/>
              <w:right w:type="dxa" w:w="100"/>
            </w:tcMar>
          </w:tcPr>
          <w:p>
            <w:r>
              <w:rPr>
                <w:b w:val="false"/>
                <w:bCs w:val="false"/>
                <w:color w:val="1A1A1A"/>
                <w:sz w:val="19"/>
                <w:szCs w:val="19"/>
              </w:rPr>
              <w:t xml:space="preserve">Residual detectors</w:t>
            </w:r>
          </w:p>
        </w:tc>
        <w:tc>
          <w:tcPr>
            <w:tcW w:type="dxa" w:w="3100"/>
            <w:tcMar>
              <w:top w:type="dxa" w:w="60"/>
              <w:left w:type="dxa" w:w="100"/>
              <w:bottom w:type="dxa" w:w="60"/>
              <w:right w:type="dxa" w:w="100"/>
            </w:tcMar>
          </w:tcPr>
          <w:p>
            <w:r>
              <w:rPr>
                <w:b w:val="false"/>
                <w:bCs w:val="false"/>
                <w:color w:val="1A1A1A"/>
                <w:sz w:val="19"/>
                <w:szCs w:val="19"/>
              </w:rPr>
              <w:t xml:space="preserve">Is the pack healthy right now?</w:t>
            </w:r>
          </w:p>
        </w:tc>
        <w:tc>
          <w:tcPr>
            <w:tcW w:type="dxa" w:w="3200"/>
            <w:tcMar>
              <w:top w:type="dxa" w:w="60"/>
              <w:left w:type="dxa" w:w="100"/>
              <w:bottom w:type="dxa" w:w="60"/>
              <w:right w:type="dxa" w:w="100"/>
            </w:tcMar>
          </w:tcPr>
          <w:p>
            <w:r>
              <w:rPr>
                <w:b w:val="false"/>
                <w:bCs w:val="false"/>
                <w:color w:val="1A1A1A"/>
                <w:sz w:val="19"/>
                <w:szCs w:val="19"/>
              </w:rPr>
              <w:t xml:space="preserve">Innovation-based detection with quantified delay</w:t>
            </w:r>
          </w:p>
        </w:tc>
      </w:tr>
    </w:tbl>
    <w:p>
      <w:pPr>
        <w:spacing w:after="160" w:line="300"/>
      </w:pPr>
      <w:r>
        <w:rPr>
          <w:color w:val="1A1A1A"/>
          <w:sz w:val="22"/>
          <w:szCs w:val="22"/>
        </w:rPr>
        <w:t xml:space="preserve"/>
      </w:r>
    </w:p>
    <w:p>
      <w:pPr>
        <w:spacing w:after="160" w:line="300"/>
      </w:pPr>
      <w:r>
        <w:rPr>
          <w:color w:val="1A1A1A"/>
          <w:sz w:val="22"/>
          <w:szCs w:val="22"/>
        </w:rPr>
        <w:t xml:space="preserve">Two scoping decisions were fixed at kickoff. Prismatic cells were chosen over cylindrical because the rectangular footprint voxelizes exactly, which keeps the Phase 2 operator surrogates on a clean regular grid. The solver was made differentiable (rather than a black-box FEM/CFD ground truth) because the adjoint unlocks two capabilities later phases get for free: a head-to-head benchmark for the Phase 1 PINN inverse problem, and solver-in-the-loop physics-informed fine-tuning of the Phase 2 and 3 surrogates.</w:t>
      </w:r>
    </w:p>
    <w:p>
      <w:pPr>
        <w:pStyle w:val="Heading1"/>
        <w:spacing w:after="200" w:before="360"/>
      </w:pPr>
      <w:r>
        <w:t xml:space="preserve">3. Physical Model</w:t>
      </w:r>
    </w:p>
    <w:p>
      <w:pPr>
        <w:pStyle w:val="Heading2"/>
        <w:spacing w:after="160" w:before="280"/>
      </w:pPr>
      <w:r>
        <w:t xml:space="preserve">3.1 Geometry and materials</w:t>
      </w:r>
    </w:p>
    <w:p>
      <w:pPr>
        <w:spacing w:after="160" w:line="300"/>
      </w:pPr>
      <w:r>
        <w:rPr>
          <w:color w:val="1A1A1A"/>
          <w:sz w:val="22"/>
          <w:szCs w:val="22"/>
        </w:rPr>
        <w:t xml:space="preserve">The pack is a voxel grid with x the coolant flow direction, y the cell stacking (through-stack) direction, and z the cell height, cooled at z = 0. Prismatic cells are anisotropic: in-plane conductivity 25 W/mK, through-stack 2 W/mK, volumetric heat capacity 2.4 MJ/m3K. Thermal interface material (TIM) slabs of one voxel separate adjacent cells; structural foam fills margins and the region above the cells. Three presets are provided:</w:t>
      </w:r>
    </w:p>
    <w:tbl>
      <w:tblPr>
        <w:tblW w:type="dxa" w:w="9600"/>
        <w:tblBorders>
          <w:top w:val="single" w:color="auto" w:sz="4"/>
          <w:left w:val="single" w:color="auto" w:sz="4"/>
          <w:bottom w:val="single" w:color="auto" w:sz="4"/>
          <w:right w:val="single" w:color="auto" w:sz="4"/>
          <w:insideH w:val="single" w:color="auto" w:sz="4"/>
          <w:insideV w:val="single" w:color="auto" w:sz="4"/>
        </w:tblBorders>
      </w:tblPr>
      <w:tblGrid>
        <w:gridCol w:w="1000"/>
        <w:gridCol w:w="2600"/>
        <w:gridCol w:w="800"/>
        <w:gridCol w:w="2600"/>
        <w:gridCol w:w="2600"/>
      </w:tblGrid>
      <w:tr>
        <w:tc>
          <w:tcPr>
            <w:tcW w:type="dxa" w:w="1000"/>
            <w:shd w:fill="EFE9DD" w:val="clear"/>
            <w:tcMar>
              <w:top w:type="dxa" w:w="60"/>
              <w:left w:type="dxa" w:w="100"/>
              <w:bottom w:type="dxa" w:w="60"/>
              <w:right w:type="dxa" w:w="100"/>
            </w:tcMar>
          </w:tcPr>
          <w:p>
            <w:r>
              <w:rPr>
                <w:b/>
                <w:bCs/>
                <w:color w:val="1A1A1A"/>
                <w:sz w:val="19"/>
                <w:szCs w:val="19"/>
              </w:rPr>
              <w:t xml:space="preserve">Preset</w:t>
            </w:r>
          </w:p>
        </w:tc>
        <w:tc>
          <w:tcPr>
            <w:tcW w:type="dxa" w:w="2600"/>
            <w:shd w:fill="EFE9DD" w:val="clear"/>
            <w:tcMar>
              <w:top w:type="dxa" w:w="60"/>
              <w:left w:type="dxa" w:w="100"/>
              <w:bottom w:type="dxa" w:w="60"/>
              <w:right w:type="dxa" w:w="100"/>
            </w:tcMar>
          </w:tcPr>
          <w:p>
            <w:r>
              <w:rPr>
                <w:b/>
                <w:bCs/>
                <w:color w:val="1A1A1A"/>
                <w:sz w:val="19"/>
                <w:szCs w:val="19"/>
              </w:rPr>
              <w:t xml:space="preserve">Layout</w:t>
            </w:r>
          </w:p>
        </w:tc>
        <w:tc>
          <w:tcPr>
            <w:tcW w:type="dxa" w:w="800"/>
            <w:shd w:fill="EFE9DD" w:val="clear"/>
            <w:tcMar>
              <w:top w:type="dxa" w:w="60"/>
              <w:left w:type="dxa" w:w="100"/>
              <w:bottom w:type="dxa" w:w="60"/>
              <w:right w:type="dxa" w:w="100"/>
            </w:tcMar>
          </w:tcPr>
          <w:p>
            <w:r>
              <w:rPr>
                <w:b/>
                <w:bCs/>
                <w:color w:val="1A1A1A"/>
                <w:sz w:val="19"/>
                <w:szCs w:val="19"/>
              </w:rPr>
              <w:t xml:space="preserve">Voxel</w:t>
            </w:r>
          </w:p>
        </w:tc>
        <w:tc>
          <w:tcPr>
            <w:tcW w:type="dxa" w:w="2600"/>
            <w:shd w:fill="EFE9DD" w:val="clear"/>
            <w:tcMar>
              <w:top w:type="dxa" w:w="60"/>
              <w:left w:type="dxa" w:w="100"/>
              <w:bottom w:type="dxa" w:w="60"/>
              <w:right w:type="dxa" w:w="100"/>
            </w:tcMar>
          </w:tcPr>
          <w:p>
            <w:r>
              <w:rPr>
                <w:b/>
                <w:bCs/>
                <w:color w:val="1A1A1A"/>
                <w:sz w:val="19"/>
                <w:szCs w:val="19"/>
              </w:rPr>
              <w:t xml:space="preserve">Grid</w:t>
            </w:r>
          </w:p>
        </w:tc>
        <w:tc>
          <w:tcPr>
            <w:tcW w:type="dxa" w:w="2600"/>
            <w:shd w:fill="EFE9DD" w:val="clear"/>
            <w:tcMar>
              <w:top w:type="dxa" w:w="60"/>
              <w:left w:type="dxa" w:w="100"/>
              <w:bottom w:type="dxa" w:w="60"/>
              <w:right w:type="dxa" w:w="100"/>
            </w:tcMar>
          </w:tcPr>
          <w:p>
            <w:r>
              <w:rPr>
                <w:b/>
                <w:bCs/>
                <w:color w:val="1A1A1A"/>
                <w:sz w:val="19"/>
                <w:szCs w:val="19"/>
              </w:rPr>
              <w:t xml:space="preserve">Purpose</w:t>
            </w:r>
          </w:p>
        </w:tc>
      </w:tr>
      <w:tr>
        <w:tc>
          <w:tcPr>
            <w:tcW w:type="dxa" w:w="1000"/>
            <w:tcMar>
              <w:top w:type="dxa" w:w="60"/>
              <w:left w:type="dxa" w:w="100"/>
              <w:bottom w:type="dxa" w:w="60"/>
              <w:right w:type="dxa" w:w="100"/>
            </w:tcMar>
          </w:tcPr>
          <w:p>
            <w:r>
              <w:rPr>
                <w:b w:val="false"/>
                <w:bCs w:val="false"/>
                <w:color w:val="1A1A1A"/>
                <w:sz w:val="19"/>
                <w:szCs w:val="19"/>
              </w:rPr>
              <w:t xml:space="preserve">coarse</w:t>
            </w:r>
          </w:p>
        </w:tc>
        <w:tc>
          <w:tcPr>
            <w:tcW w:type="dxa" w:w="2600"/>
            <w:tcMar>
              <w:top w:type="dxa" w:w="60"/>
              <w:left w:type="dxa" w:w="100"/>
              <w:bottom w:type="dxa" w:w="60"/>
              <w:right w:type="dxa" w:w="100"/>
            </w:tcMar>
          </w:tcPr>
          <w:p>
            <w:r>
              <w:rPr>
                <w:b w:val="false"/>
                <w:bCs w:val="false"/>
                <w:color w:val="1A1A1A"/>
                <w:sz w:val="19"/>
                <w:szCs w:val="19"/>
              </w:rPr>
              <w:t xml:space="preserve">1 module x 6 cells</w:t>
            </w:r>
          </w:p>
        </w:tc>
        <w:tc>
          <w:tcPr>
            <w:tcW w:type="dxa" w:w="800"/>
            <w:tcMar>
              <w:top w:type="dxa" w:w="60"/>
              <w:left w:type="dxa" w:w="100"/>
              <w:bottom w:type="dxa" w:w="60"/>
              <w:right w:type="dxa" w:w="100"/>
            </w:tcMar>
          </w:tcPr>
          <w:p>
            <w:r>
              <w:rPr>
                <w:b w:val="false"/>
                <w:bCs w:val="false"/>
                <w:color w:val="1A1A1A"/>
                <w:sz w:val="19"/>
                <w:szCs w:val="19"/>
              </w:rPr>
              <w:t xml:space="preserve">10 mm</w:t>
            </w:r>
          </w:p>
        </w:tc>
        <w:tc>
          <w:tcPr>
            <w:tcW w:type="dxa" w:w="2600"/>
            <w:tcMar>
              <w:top w:type="dxa" w:w="60"/>
              <w:left w:type="dxa" w:w="100"/>
              <w:bottom w:type="dxa" w:w="60"/>
              <w:right w:type="dxa" w:w="100"/>
            </w:tcMar>
          </w:tcPr>
          <w:p>
            <w:r>
              <w:rPr>
                <w:b w:val="false"/>
                <w:bCs w:val="false"/>
                <w:color w:val="1A1A1A"/>
                <w:sz w:val="19"/>
                <w:szCs w:val="19"/>
              </w:rPr>
              <w:t xml:space="preserve">14 x 25 x 9 (3,150)</w:t>
            </w:r>
          </w:p>
        </w:tc>
        <w:tc>
          <w:tcPr>
            <w:tcW w:type="dxa" w:w="2600"/>
            <w:tcMar>
              <w:top w:type="dxa" w:w="60"/>
              <w:left w:type="dxa" w:w="100"/>
              <w:bottom w:type="dxa" w:w="60"/>
              <w:right w:type="dxa" w:w="100"/>
            </w:tcMar>
          </w:tcPr>
          <w:p>
            <w:r>
              <w:rPr>
                <w:b w:val="false"/>
                <w:bCs w:val="false"/>
                <w:color w:val="1A1A1A"/>
                <w:sz w:val="19"/>
                <w:szCs w:val="19"/>
              </w:rPr>
              <w:t xml:space="preserve">Inverse demo, adjoint experiments</w:t>
            </w:r>
          </w:p>
        </w:tc>
      </w:tr>
      <w:tr>
        <w:tc>
          <w:tcPr>
            <w:tcW w:type="dxa" w:w="1000"/>
            <w:tcMar>
              <w:top w:type="dxa" w:w="60"/>
              <w:left w:type="dxa" w:w="100"/>
              <w:bottom w:type="dxa" w:w="60"/>
              <w:right w:type="dxa" w:w="100"/>
            </w:tcMar>
          </w:tcPr>
          <w:p>
            <w:r>
              <w:rPr>
                <w:b w:val="false"/>
                <w:bCs w:val="false"/>
                <w:color w:val="1A1A1A"/>
                <w:sz w:val="19"/>
                <w:szCs w:val="19"/>
              </w:rPr>
              <w:t xml:space="preserve">demo</w:t>
            </w:r>
          </w:p>
        </w:tc>
        <w:tc>
          <w:tcPr>
            <w:tcW w:type="dxa" w:w="2600"/>
            <w:tcMar>
              <w:top w:type="dxa" w:w="60"/>
              <w:left w:type="dxa" w:w="100"/>
              <w:bottom w:type="dxa" w:w="60"/>
              <w:right w:type="dxa" w:w="100"/>
            </w:tcMar>
          </w:tcPr>
          <w:p>
            <w:r>
              <w:rPr>
                <w:b w:val="false"/>
                <w:bCs w:val="false"/>
                <w:color w:val="1A1A1A"/>
                <w:sz w:val="19"/>
                <w:szCs w:val="19"/>
              </w:rPr>
              <w:t xml:space="preserve">2 modules x 8 cells</w:t>
            </w:r>
          </w:p>
        </w:tc>
        <w:tc>
          <w:tcPr>
            <w:tcW w:type="dxa" w:w="800"/>
            <w:tcMar>
              <w:top w:type="dxa" w:w="60"/>
              <w:left w:type="dxa" w:w="100"/>
              <w:bottom w:type="dxa" w:w="60"/>
              <w:right w:type="dxa" w:w="100"/>
            </w:tcMar>
          </w:tcPr>
          <w:p>
            <w:r>
              <w:rPr>
                <w:b w:val="false"/>
                <w:bCs w:val="false"/>
                <w:color w:val="1A1A1A"/>
                <w:sz w:val="19"/>
                <w:szCs w:val="19"/>
              </w:rPr>
              <w:t xml:space="preserve">5 mm</w:t>
            </w:r>
          </w:p>
        </w:tc>
        <w:tc>
          <w:tcPr>
            <w:tcW w:type="dxa" w:w="2600"/>
            <w:tcMar>
              <w:top w:type="dxa" w:w="60"/>
              <w:left w:type="dxa" w:w="100"/>
              <w:bottom w:type="dxa" w:w="60"/>
              <w:right w:type="dxa" w:w="100"/>
            </w:tcMar>
          </w:tcPr>
          <w:p>
            <w:r>
              <w:rPr>
                <w:b w:val="false"/>
                <w:bCs w:val="false"/>
                <w:color w:val="1A1A1A"/>
                <w:sz w:val="19"/>
                <w:szCs w:val="19"/>
              </w:rPr>
              <w:t xml:space="preserve">28 x 100 x 18 (50,400)</w:t>
            </w:r>
          </w:p>
        </w:tc>
        <w:tc>
          <w:tcPr>
            <w:tcW w:type="dxa" w:w="2600"/>
            <w:tcMar>
              <w:top w:type="dxa" w:w="60"/>
              <w:left w:type="dxa" w:w="100"/>
              <w:bottom w:type="dxa" w:w="60"/>
              <w:right w:type="dxa" w:w="100"/>
            </w:tcMar>
          </w:tcPr>
          <w:p>
            <w:r>
              <w:rPr>
                <w:b w:val="false"/>
                <w:bCs w:val="false"/>
                <w:color w:val="1A1A1A"/>
                <w:sz w:val="19"/>
                <w:szCs w:val="19"/>
              </w:rPr>
              <w:t xml:space="preserve">CPU-scale dataset generation</w:t>
            </w:r>
          </w:p>
        </w:tc>
      </w:tr>
      <w:tr>
        <w:tc>
          <w:tcPr>
            <w:tcW w:type="dxa" w:w="1000"/>
            <w:tcMar>
              <w:top w:type="dxa" w:w="60"/>
              <w:left w:type="dxa" w:w="100"/>
              <w:bottom w:type="dxa" w:w="60"/>
              <w:right w:type="dxa" w:w="100"/>
            </w:tcMar>
          </w:tcPr>
          <w:p>
            <w:r>
              <w:rPr>
                <w:b w:val="false"/>
                <w:bCs w:val="false"/>
                <w:color w:val="1A1A1A"/>
                <w:sz w:val="19"/>
                <w:szCs w:val="19"/>
              </w:rPr>
              <w:t xml:space="preserve">full</w:t>
            </w:r>
          </w:p>
        </w:tc>
        <w:tc>
          <w:tcPr>
            <w:tcW w:type="dxa" w:w="2600"/>
            <w:tcMar>
              <w:top w:type="dxa" w:w="60"/>
              <w:left w:type="dxa" w:w="100"/>
              <w:bottom w:type="dxa" w:w="60"/>
              <w:right w:type="dxa" w:w="100"/>
            </w:tcMar>
          </w:tcPr>
          <w:p>
            <w:r>
              <w:rPr>
                <w:b w:val="false"/>
                <w:bCs w:val="false"/>
                <w:color w:val="1A1A1A"/>
                <w:sz w:val="19"/>
                <w:szCs w:val="19"/>
              </w:rPr>
              <w:t xml:space="preserve">2 x 4 modules x 12 cells (96)</w:t>
            </w:r>
          </w:p>
        </w:tc>
        <w:tc>
          <w:tcPr>
            <w:tcW w:type="dxa" w:w="800"/>
            <w:tcMar>
              <w:top w:type="dxa" w:w="60"/>
              <w:left w:type="dxa" w:w="100"/>
              <w:bottom w:type="dxa" w:w="60"/>
              <w:right w:type="dxa" w:w="100"/>
            </w:tcMar>
          </w:tcPr>
          <w:p>
            <w:r>
              <w:rPr>
                <w:b w:val="false"/>
                <w:bCs w:val="false"/>
                <w:color w:val="1A1A1A"/>
                <w:sz w:val="19"/>
                <w:szCs w:val="19"/>
              </w:rPr>
              <w:t xml:space="preserve">5 mm</w:t>
            </w:r>
          </w:p>
        </w:tc>
        <w:tc>
          <w:tcPr>
            <w:tcW w:type="dxa" w:w="2600"/>
            <w:tcMar>
              <w:top w:type="dxa" w:w="60"/>
              <w:left w:type="dxa" w:w="100"/>
              <w:bottom w:type="dxa" w:w="60"/>
              <w:right w:type="dxa" w:w="100"/>
            </w:tcMar>
          </w:tcPr>
          <w:p>
            <w:r>
              <w:rPr>
                <w:b w:val="false"/>
                <w:bCs w:val="false"/>
                <w:color w:val="1A1A1A"/>
                <w:sz w:val="19"/>
                <w:szCs w:val="19"/>
              </w:rPr>
              <w:t xml:space="preserve">approx. 1M voxels</w:t>
            </w:r>
          </w:p>
        </w:tc>
        <w:tc>
          <w:tcPr>
            <w:tcW w:type="dxa" w:w="2600"/>
            <w:tcMar>
              <w:top w:type="dxa" w:w="60"/>
              <w:left w:type="dxa" w:w="100"/>
              <w:bottom w:type="dxa" w:w="60"/>
              <w:right w:type="dxa" w:w="100"/>
            </w:tcMar>
          </w:tcPr>
          <w:p>
            <w:r>
              <w:rPr>
                <w:b w:val="false"/>
                <w:bCs w:val="false"/>
                <w:color w:val="1A1A1A"/>
                <w:sz w:val="19"/>
                <w:szCs w:val="19"/>
              </w:rPr>
              <w:t xml:space="preserve">Production dataset (GPU)</w:t>
            </w:r>
          </w:p>
        </w:tc>
      </w:tr>
    </w:tbl>
    <w:p>
      <w:pPr>
        <w:spacing w:after="160" w:line="300"/>
      </w:pPr>
      <w:r>
        <w:rPr>
          <w:color w:val="1A1A1A"/>
          <w:sz w:val="22"/>
          <w:szCs w:val="22"/>
        </w:rPr>
        <w:t xml:space="preserve"/>
      </w:r>
    </w:p>
    <w:p>
      <w:pPr>
        <w:pStyle w:val="Heading2"/>
        <w:spacing w:after="160" w:before="280"/>
      </w:pPr>
      <w:r>
        <w:t xml:space="preserve">3.2 Heat generation</w:t>
      </w:r>
    </w:p>
    <w:p>
      <w:pPr>
        <w:spacing w:after="160" w:line="300"/>
      </w:pPr>
      <w:r>
        <w:rPr>
          <w:color w:val="1A1A1A"/>
          <w:sz w:val="22"/>
          <w:szCs w:val="22"/>
        </w:rPr>
        <w:t xml:space="preserve">Per-cell heat follows the Bernardi equation with joule and entropic terms, distributed uniformly over the cell volume:</w:t>
      </w:r>
    </w:p>
    <w:p>
      <w:pPr>
        <w:spacing w:after="160" w:before="120"/>
        <w:jc w:val="center"/>
      </w:pPr>
      <w:r>
        <w:rPr>
          <w:i/>
          <w:iCs/>
          <w:color w:val="1A1A1A"/>
          <w:sz w:val="22"/>
          <w:szCs w:val="22"/>
        </w:rPr>
        <w:t xml:space="preserve">q̇ = ( I² R_int + I · T · dU/dT ) / V_cell</w:t>
      </w:r>
    </w:p>
    <w:p>
      <w:pPr>
        <w:spacing w:after="160" w:line="300"/>
      </w:pPr>
      <w:r>
        <w:rPr>
          <w:color w:val="1A1A1A"/>
          <w:sz w:val="22"/>
          <w:szCs w:val="22"/>
        </w:rPr>
        <w:t xml:space="preserve">All cells carry the series pack current I(t), produced by a synthetic WLTP-flavored drive cycle generator (urban, highway, and aggressive segments with regenerative braking, smoothed by a 2-second first-order filter). Nominal R_int is 0.6 mOhm and dU/dT is -0.1 mV/K. The generator is a placeholder interface: real WLTP or US06 current traces, or PyBaMM equivalent-circuit output with SOC- and temperature-dependent resistance, plug into the same heat_source kernel.</w:t>
      </w:r>
    </w:p>
    <w:p>
      <w:pPr>
        <w:pStyle w:val="Heading2"/>
        <w:spacing w:after="160" w:before="280"/>
      </w:pPr>
      <w:r>
        <w:t xml:space="preserve">3.3 Cooling model</w:t>
      </w:r>
    </w:p>
    <w:p>
      <w:pPr>
        <w:spacing w:after="160" w:line="300"/>
      </w:pPr>
      <w:r>
        <w:rPr>
          <w:color w:val="1A1A1A"/>
          <w:sz w:val="22"/>
          <w:szCs w:val="22"/>
        </w:rPr>
        <w:t xml:space="preserve">Cooling channels run along x under every y-row of floor voxels. Each channel carries a serial 1D energy balance marched from inlet to outlet, so downstream cells see warmer coolant, a first-order effect for detecting partially blocked channels:</w:t>
      </w:r>
    </w:p>
    <w:p>
      <w:pPr>
        <w:spacing w:after="160" w:before="120"/>
        <w:jc w:val="center"/>
      </w:pPr>
      <w:r>
        <w:rPr>
          <w:i/>
          <w:iCs/>
          <w:color w:val="1A1A1A"/>
          <w:sz w:val="22"/>
          <w:szCs w:val="22"/>
        </w:rPr>
        <w:t xml:space="preserve">T_c(s+1) = T_c(s) + c · ( T_wall(s) - T_c(s) ),   c = min( h A_seg / (ṁ_ch c_p), 1 )</w:t>
      </w:r>
    </w:p>
    <w:p>
      <w:pPr>
        <w:spacing w:after="160" w:line="300"/>
      </w:pPr>
      <w:r>
        <w:rPr>
          <w:color w:val="1A1A1A"/>
          <w:sz w:val="22"/>
          <w:szCs w:val="22"/>
        </w:rPr>
        <w:t xml:space="preserve">The solid couples to the local coolant segment through a convective volumetric sink on floor voxels. Blocked-flow faults scale the per-channel flow factor ff, with the heat transfer coefficient following a Dittus-Boelter-like law, h proportional to ff to the power 0.8; the marching coefficient is clamped to 1 so a fully blocked channel equilibrates stably to wall temperature.</w:t>
      </w:r>
    </w:p>
    <w:p>
      <w:pPr>
        <w:pStyle w:val="Heading1"/>
        <w:spacing w:after="200" w:before="360"/>
      </w:pPr>
      <w:r>
        <w:t xml:space="preserve">4. Numerical Method</w:t>
      </w:r>
    </w:p>
    <w:p>
      <w:pPr>
        <w:spacing w:after="160" w:line="300"/>
      </w:pPr>
      <w:r>
        <w:rPr>
          <w:color w:val="1A1A1A"/>
          <w:sz w:val="22"/>
          <w:szCs w:val="22"/>
        </w:rPr>
        <w:t xml:space="preserve">Conduction is discretized with explicit FTCS (forward time, centered space) on the voxel grid. Face conductivities between dissimilar materials use the harmonic mean, which correctly represents series thermal resistance across cell/TIM/foam interfaces:</w:t>
      </w:r>
    </w:p>
    <w:p>
      <w:pPr>
        <w:spacing w:after="160" w:before="120"/>
        <w:jc w:val="center"/>
      </w:pPr>
      <w:r>
        <w:rPr>
          <w:i/>
          <w:iCs/>
          <w:color w:val="1A1A1A"/>
          <w:sz w:val="22"/>
          <w:szCs w:val="22"/>
        </w:rPr>
        <w:t xml:space="preserve">k_face = 2 k_i k_j / ( k_i + k_j )</w:t>
      </w:r>
    </w:p>
    <w:p>
      <w:pPr>
        <w:spacing w:after="160" w:line="300"/>
      </w:pPr>
      <w:r>
        <w:rPr>
          <w:color w:val="1A1A1A"/>
          <w:sz w:val="22"/>
          <w:szCs w:val="22"/>
        </w:rPr>
        <w:t xml:space="preserve">Exterior faces are adiabatic; the floor exchanges heat only through the coolant sink. The explicit scheme imposes a stability limit which the configuration reports and the dataset script asserts before running:</w:t>
      </w:r>
    </w:p>
    <w:p>
      <w:pPr>
        <w:spacing w:after="160" w:before="120"/>
        <w:jc w:val="center"/>
      </w:pPr>
      <w:r>
        <w:rPr>
          <w:i/>
          <w:iCs/>
          <w:color w:val="1A1A1A"/>
          <w:sz w:val="22"/>
          <w:szCs w:val="22"/>
        </w:rPr>
        <w:t xml:space="preserve">Δt ≤ Δx² / ( 6 α_max ),   α = k / ρc_p</w:t>
      </w:r>
    </w:p>
    <w:p>
      <w:pPr>
        <w:spacing w:after="160" w:line="300"/>
      </w:pPr>
      <w:r>
        <w:rPr>
          <w:color w:val="1A1A1A"/>
          <w:sz w:val="22"/>
          <w:szCs w:val="22"/>
        </w:rPr>
        <w:t xml:space="preserve">At 5 mm voxels the limit is 0.40 s (0.20 s used); at 10 mm it is 1.6 s (0.5 s used). A deliberate design choice was to omit a high-diffusivity aluminum cold plate layer, which would have forced the step below 0.05 s; the convective floor boundary captures the same first-order behavior at 4 to 8 times lower cost. An implicit or ADI scheme is the documented upgrade path if finer voxels or plate metal become necessary.</w:t>
      </w:r>
    </w:p>
    <w:p>
      <w:pPr>
        <w:spacing w:after="160" w:line="300"/>
      </w:pPr>
      <w:r>
        <w:rPr>
          <w:color w:val="1A1A1A"/>
          <w:sz w:val="22"/>
          <w:szCs w:val="22"/>
        </w:rPr>
        <w:t xml:space="preserve">Each time step launches three kernels in sequence: heat_source (Bernardi), coolant_march (one thread per channel, serial along flow), and diffuse (one thread per voxel). All three are pure Warp, so the composition is a single differentiable program.</w:t>
      </w:r>
    </w:p>
    <w:p>
      <w:pPr>
        <w:pStyle w:val="Heading1"/>
        <w:spacing w:after="200" w:before="360"/>
      </w:pPr>
      <w:r>
        <w:t xml:space="preserve">5. Differentiability Architecture</w:t>
      </w:r>
    </w:p>
    <w:p>
      <w:pPr>
        <w:spacing w:after="160" w:line="300"/>
      </w:pPr>
      <w:r>
        <w:rPr>
          <w:color w:val="1A1A1A"/>
          <w:sz w:val="22"/>
          <w:szCs w:val="22"/>
        </w:rPr>
        <w:t xml:space="preserve">Warp records kernel launches on a wp.Tape and replays their adjoints in reverse, providing exact gradients of any scalar loss with respect to any wp.array with requires_grad=True. Correct reverse-mode differentiation through a transient rollout requires that intermediate states survive until the backward pass, so the simulator has two buffer policies: in forward-only mode, temperature buffers ping-pong and memory is constant; in differentiable mode, every step allocates fresh state (temperature, heat source, coolant) and retains it. For the coarse preset this costs about 3,150 voxels x 240 steps x 3 arrays, roughly 9 MB, which is negligible; for long horizons on the full pack, checkpointing is the standard remedy.</w:t>
      </w:r>
    </w:p>
    <w:p>
      <w:pPr>
        <w:spacing w:after="160" w:line="300"/>
      </w:pPr>
      <w:r>
        <w:rPr>
          <w:color w:val="1A1A1A"/>
          <w:sz w:val="22"/>
          <w:szCs w:val="22"/>
        </w:rPr>
        <w:t xml:space="preserve">Gradients currently flow to per-cell internal resistance, initial temperature, and measured-state losses. Extending to material conductivities, heat transfer coefficient, or flow factors requires only flipping requires_grad on the corresponding arrays; the kernels already treat them as inputs.</w:t>
      </w:r>
    </w:p>
    <w:p>
      <w:pPr>
        <w:pStyle w:val="Heading1"/>
        <w:spacing w:after="200" w:before="360"/>
      </w:pPr>
      <w:r>
        <w:t xml:space="preserve">6. Fault Injection</w:t>
      </w:r>
    </w:p>
    <w:tbl>
      <w:tblPr>
        <w:tblW w:type="dxa" w:w="9600"/>
        <w:tblBorders>
          <w:top w:val="single" w:color="auto" w:sz="4"/>
          <w:left w:val="single" w:color="auto" w:sz="4"/>
          <w:bottom w:val="single" w:color="auto" w:sz="4"/>
          <w:right w:val="single" w:color="auto" w:sz="4"/>
          <w:insideH w:val="single" w:color="auto" w:sz="4"/>
          <w:insideV w:val="single" w:color="auto" w:sz="4"/>
        </w:tblBorders>
      </w:tblPr>
      <w:tblGrid>
        <w:gridCol w:w="1400"/>
        <w:gridCol w:w="2700"/>
        <w:gridCol w:w="2900"/>
        <w:gridCol w:w="2600"/>
      </w:tblGrid>
      <w:tr>
        <w:tc>
          <w:tcPr>
            <w:tcW w:type="dxa" w:w="1400"/>
            <w:shd w:fill="EFE9DD" w:val="clear"/>
            <w:tcMar>
              <w:top w:type="dxa" w:w="60"/>
              <w:left w:type="dxa" w:w="100"/>
              <w:bottom w:type="dxa" w:w="60"/>
              <w:right w:type="dxa" w:w="100"/>
            </w:tcMar>
          </w:tcPr>
          <w:p>
            <w:r>
              <w:rPr>
                <w:b/>
                <w:bCs/>
                <w:color w:val="1A1A1A"/>
                <w:sz w:val="19"/>
                <w:szCs w:val="19"/>
              </w:rPr>
              <w:t xml:space="preserve">Fault</w:t>
            </w:r>
          </w:p>
        </w:tc>
        <w:tc>
          <w:tcPr>
            <w:tcW w:type="dxa" w:w="2700"/>
            <w:shd w:fill="EFE9DD" w:val="clear"/>
            <w:tcMar>
              <w:top w:type="dxa" w:w="60"/>
              <w:left w:type="dxa" w:w="100"/>
              <w:bottom w:type="dxa" w:w="60"/>
              <w:right w:type="dxa" w:w="100"/>
            </w:tcMar>
          </w:tcPr>
          <w:p>
            <w:r>
              <w:rPr>
                <w:b/>
                <w:bCs/>
                <w:color w:val="1A1A1A"/>
                <w:sz w:val="19"/>
                <w:szCs w:val="19"/>
              </w:rPr>
              <w:t xml:space="preserve">Mechanism modeled</w:t>
            </w:r>
          </w:p>
        </w:tc>
        <w:tc>
          <w:tcPr>
            <w:tcW w:type="dxa" w:w="2900"/>
            <w:shd w:fill="EFE9DD" w:val="clear"/>
            <w:tcMar>
              <w:top w:type="dxa" w:w="60"/>
              <w:left w:type="dxa" w:w="100"/>
              <w:bottom w:type="dxa" w:w="60"/>
              <w:right w:type="dxa" w:w="100"/>
            </w:tcMar>
          </w:tcPr>
          <w:p>
            <w:r>
              <w:rPr>
                <w:b/>
                <w:bCs/>
                <w:color w:val="1A1A1A"/>
                <w:sz w:val="19"/>
                <w:szCs w:val="19"/>
              </w:rPr>
              <w:t xml:space="preserve">Implementation</w:t>
            </w:r>
          </w:p>
        </w:tc>
        <w:tc>
          <w:tcPr>
            <w:tcW w:type="dxa" w:w="2600"/>
            <w:shd w:fill="EFE9DD" w:val="clear"/>
            <w:tcMar>
              <w:top w:type="dxa" w:w="60"/>
              <w:left w:type="dxa" w:w="100"/>
              <w:bottom w:type="dxa" w:w="60"/>
              <w:right w:type="dxa" w:w="100"/>
            </w:tcMar>
          </w:tcPr>
          <w:p>
            <w:r>
              <w:rPr>
                <w:b/>
                <w:bCs/>
                <w:color w:val="1A1A1A"/>
                <w:sz w:val="19"/>
                <w:szCs w:val="19"/>
              </w:rPr>
              <w:t xml:space="preserve">VHM relevance</w:t>
            </w:r>
          </w:p>
        </w:tc>
      </w:tr>
      <w:tr>
        <w:tc>
          <w:tcPr>
            <w:tcW w:type="dxa" w:w="1400"/>
            <w:tcMar>
              <w:top w:type="dxa" w:w="60"/>
              <w:left w:type="dxa" w:w="100"/>
              <w:bottom w:type="dxa" w:w="60"/>
              <w:right w:type="dxa" w:w="100"/>
            </w:tcMar>
          </w:tcPr>
          <w:p>
            <w:r>
              <w:rPr>
                <w:b w:val="false"/>
                <w:bCs w:val="false"/>
                <w:color w:val="1A1A1A"/>
                <w:sz w:val="19"/>
                <w:szCs w:val="19"/>
              </w:rPr>
              <w:t xml:space="preserve">hot_cell</w:t>
            </w:r>
          </w:p>
        </w:tc>
        <w:tc>
          <w:tcPr>
            <w:tcW w:type="dxa" w:w="2700"/>
            <w:tcMar>
              <w:top w:type="dxa" w:w="60"/>
              <w:left w:type="dxa" w:w="100"/>
              <w:bottom w:type="dxa" w:w="60"/>
              <w:right w:type="dxa" w:w="100"/>
            </w:tcMar>
          </w:tcPr>
          <w:p>
            <w:r>
              <w:rPr>
                <w:b w:val="false"/>
                <w:bCs w:val="false"/>
                <w:color w:val="1A1A1A"/>
                <w:sz w:val="19"/>
                <w:szCs w:val="19"/>
              </w:rPr>
              <w:t xml:space="preserve">Cell aging or internal short precursor</w:t>
            </w:r>
          </w:p>
        </w:tc>
        <w:tc>
          <w:tcPr>
            <w:tcW w:type="dxa" w:w="2900"/>
            <w:tcMar>
              <w:top w:type="dxa" w:w="60"/>
              <w:left w:type="dxa" w:w="100"/>
              <w:bottom w:type="dxa" w:w="60"/>
              <w:right w:type="dxa" w:w="100"/>
            </w:tcMar>
          </w:tcPr>
          <w:p>
            <w:r>
              <w:rPr>
                <w:b w:val="false"/>
                <w:bCs w:val="false"/>
                <w:color w:val="1A1A1A"/>
                <w:sz w:val="19"/>
                <w:szCs w:val="19"/>
              </w:rPr>
              <w:t xml:space="preserve">R_int on one cell scaled up to 3x nominal</w:t>
            </w:r>
          </w:p>
        </w:tc>
        <w:tc>
          <w:tcPr>
            <w:tcW w:type="dxa" w:w="2600"/>
            <w:tcMar>
              <w:top w:type="dxa" w:w="60"/>
              <w:left w:type="dxa" w:w="100"/>
              <w:bottom w:type="dxa" w:w="60"/>
              <w:right w:type="dxa" w:w="100"/>
            </w:tcMar>
          </w:tcPr>
          <w:p>
            <w:r>
              <w:rPr>
                <w:b w:val="false"/>
                <w:bCs w:val="false"/>
                <w:color w:val="1A1A1A"/>
                <w:sz w:val="19"/>
                <w:szCs w:val="19"/>
              </w:rPr>
              <w:t xml:space="preserve">Earliest observable of thermal runaway path</w:t>
            </w:r>
          </w:p>
        </w:tc>
      </w:tr>
      <w:tr>
        <w:tc>
          <w:tcPr>
            <w:tcW w:type="dxa" w:w="1400"/>
            <w:tcMar>
              <w:top w:type="dxa" w:w="60"/>
              <w:left w:type="dxa" w:w="100"/>
              <w:bottom w:type="dxa" w:w="60"/>
              <w:right w:type="dxa" w:w="100"/>
            </w:tcMar>
          </w:tcPr>
          <w:p>
            <w:r>
              <w:rPr>
                <w:b w:val="false"/>
                <w:bCs w:val="false"/>
                <w:color w:val="1A1A1A"/>
                <w:sz w:val="19"/>
                <w:szCs w:val="19"/>
              </w:rPr>
              <w:t xml:space="preserve">blocked_channel</w:t>
            </w:r>
          </w:p>
        </w:tc>
        <w:tc>
          <w:tcPr>
            <w:tcW w:type="dxa" w:w="2700"/>
            <w:tcMar>
              <w:top w:type="dxa" w:w="60"/>
              <w:left w:type="dxa" w:w="100"/>
              <w:bottom w:type="dxa" w:w="60"/>
              <w:right w:type="dxa" w:w="100"/>
            </w:tcMar>
          </w:tcPr>
          <w:p>
            <w:r>
              <w:rPr>
                <w:b w:val="false"/>
                <w:bCs w:val="false"/>
                <w:color w:val="1A1A1A"/>
                <w:sz w:val="19"/>
                <w:szCs w:val="19"/>
              </w:rPr>
              <w:t xml:space="preserve">Coolant blockage or pump degradation</w:t>
            </w:r>
          </w:p>
        </w:tc>
        <w:tc>
          <w:tcPr>
            <w:tcW w:type="dxa" w:w="2900"/>
            <w:tcMar>
              <w:top w:type="dxa" w:w="60"/>
              <w:left w:type="dxa" w:w="100"/>
              <w:bottom w:type="dxa" w:w="60"/>
              <w:right w:type="dxa" w:w="100"/>
            </w:tcMar>
          </w:tcPr>
          <w:p>
            <w:r>
              <w:rPr>
                <w:b w:val="false"/>
                <w:bCs w:val="false"/>
                <w:color w:val="1A1A1A"/>
                <w:sz w:val="19"/>
                <w:szCs w:val="19"/>
              </w:rPr>
              <w:t xml:space="preserve">Flow factor 0.05 on a 4-channel band; h follows ff^0.8</w:t>
            </w:r>
          </w:p>
        </w:tc>
        <w:tc>
          <w:tcPr>
            <w:tcW w:type="dxa" w:w="2600"/>
            <w:tcMar>
              <w:top w:type="dxa" w:w="60"/>
              <w:left w:type="dxa" w:w="100"/>
              <w:bottom w:type="dxa" w:w="60"/>
              <w:right w:type="dxa" w:w="100"/>
            </w:tcMar>
          </w:tcPr>
          <w:p>
            <w:r>
              <w:rPr>
                <w:b w:val="false"/>
                <w:bCs w:val="false"/>
                <w:color w:val="1A1A1A"/>
                <w:sz w:val="19"/>
                <w:szCs w:val="19"/>
              </w:rPr>
              <w:t xml:space="preserve">Cooling system prognostics</w:t>
            </w:r>
          </w:p>
        </w:tc>
      </w:tr>
      <w:tr>
        <w:tc>
          <w:tcPr>
            <w:tcW w:type="dxa" w:w="1400"/>
            <w:tcMar>
              <w:top w:type="dxa" w:w="60"/>
              <w:left w:type="dxa" w:w="100"/>
              <w:bottom w:type="dxa" w:w="60"/>
              <w:right w:type="dxa" w:w="100"/>
            </w:tcMar>
          </w:tcPr>
          <w:p>
            <w:r>
              <w:rPr>
                <w:b w:val="false"/>
                <w:bCs w:val="false"/>
                <w:color w:val="1A1A1A"/>
                <w:sz w:val="19"/>
                <w:szCs w:val="19"/>
              </w:rPr>
              <w:t xml:space="preserve">tim_degraded</w:t>
            </w:r>
          </w:p>
        </w:tc>
        <w:tc>
          <w:tcPr>
            <w:tcW w:type="dxa" w:w="2700"/>
            <w:tcMar>
              <w:top w:type="dxa" w:w="60"/>
              <w:left w:type="dxa" w:w="100"/>
              <w:bottom w:type="dxa" w:w="60"/>
              <w:right w:type="dxa" w:w="100"/>
            </w:tcMar>
          </w:tcPr>
          <w:p>
            <w:r>
              <w:rPr>
                <w:b w:val="false"/>
                <w:bCs w:val="false"/>
                <w:color w:val="1A1A1A"/>
                <w:sz w:val="19"/>
                <w:szCs w:val="19"/>
              </w:rPr>
              <w:t xml:space="preserve">Interface delamination</w:t>
            </w:r>
          </w:p>
        </w:tc>
        <w:tc>
          <w:tcPr>
            <w:tcW w:type="dxa" w:w="2900"/>
            <w:tcMar>
              <w:top w:type="dxa" w:w="60"/>
              <w:left w:type="dxa" w:w="100"/>
              <w:bottom w:type="dxa" w:w="60"/>
              <w:right w:type="dxa" w:w="100"/>
            </w:tcMar>
          </w:tcPr>
          <w:p>
            <w:r>
              <w:rPr>
                <w:b w:val="false"/>
                <w:bCs w:val="false"/>
                <w:color w:val="1A1A1A"/>
                <w:sz w:val="19"/>
                <w:szCs w:val="19"/>
              </w:rPr>
              <w:t xml:space="preserve">TIM slab conductivity scaled by 0.08 (geometry level)</w:t>
            </w:r>
          </w:p>
        </w:tc>
        <w:tc>
          <w:tcPr>
            <w:tcW w:type="dxa" w:w="2600"/>
            <w:tcMar>
              <w:top w:type="dxa" w:w="60"/>
              <w:left w:type="dxa" w:w="100"/>
              <w:bottom w:type="dxa" w:w="60"/>
              <w:right w:type="dxa" w:w="100"/>
            </w:tcMar>
          </w:tcPr>
          <w:p>
            <w:r>
              <w:rPr>
                <w:b w:val="false"/>
                <w:bCs w:val="false"/>
                <w:color w:val="1A1A1A"/>
                <w:sz w:val="19"/>
                <w:szCs w:val="19"/>
              </w:rPr>
              <w:t xml:space="preserve">Heat-spreading loss, localized hot spots</w:t>
            </w:r>
          </w:p>
        </w:tc>
      </w:tr>
    </w:tbl>
    <w:p>
      <w:pPr>
        <w:spacing w:after="160" w:line="300"/>
      </w:pPr>
      <w:r>
        <w:rPr>
          <w:color w:val="1A1A1A"/>
          <w:sz w:val="22"/>
          <w:szCs w:val="22"/>
        </w:rPr>
        <w:t xml:space="preserve"/>
      </w:r>
    </w:p>
    <w:p>
      <w:pPr>
        <w:spacing w:after="160" w:line="300"/>
      </w:pPr>
      <w:r>
        <w:rPr>
          <w:color w:val="1A1A1A"/>
          <w:sz w:val="22"/>
          <w:szCs w:val="22"/>
        </w:rPr>
        <w:t xml:space="preserve">Scenario-level operating variation (inlet temperature 20 to 35 C, flow scale 0.8 to 1.2, drive-cycle seed) is randomized per run so detectors trained downstream cannot key on trivial operating-point differences.</w:t>
      </w:r>
    </w:p>
    <w:p>
      <w:pPr>
        <w:pStyle w:val="Heading1"/>
        <w:spacing w:after="200" w:before="360"/>
      </w:pPr>
      <w:r>
        <w:t xml:space="preserve">7. Results</w:t>
      </w:r>
    </w:p>
    <w:p>
      <w:pPr>
        <w:pStyle w:val="Heading2"/>
        <w:spacing w:after="160" w:before="280"/>
      </w:pPr>
      <w:r>
        <w:t xml:space="preserve">7.1 Forward solver performance and behavior</w:t>
      </w:r>
    </w:p>
    <w:p>
      <w:pPr>
        <w:spacing w:after="160" w:line="300"/>
      </w:pPr>
      <w:r>
        <w:rPr>
          <w:color w:val="1A1A1A"/>
          <w:sz w:val="22"/>
          <w:szCs w:val="22"/>
        </w:rPr>
        <w:t xml:space="preserve">Five demo-preset scenarios (two nominal, one of each fault) of 300 simulated seconds each completed at about 4 seconds wall time per scenario on CPU after JIT warmup. Peak cell temperatures ranged from 23 to 36 C depending on inlet temperature and fault, with clear qualitative signatures: the degraded-TIM run traps heat behind the delaminated interface, and the vertical gradient toward the cooled floor is visible in every scenario.</w:t>
      </w:r>
    </w:p>
    <w:p>
      <w:pPr>
        <w:spacing w:after="60" w:before="120"/>
        <w:jc w:val="center"/>
      </w:pPr>
      <w:r>
        <w:drawing>
          <wp:inline distT="0" distB="0" distL="0" distR="0">
            <wp:extent cx="5334000" cy="35528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5334000" cy="3552825"/>
                    </a:xfrm>
                    <a:prstGeom prst="rect">
                      <a:avLst/>
                    </a:prstGeom>
                  </pic:spPr>
                </pic:pic>
              </a:graphicData>
            </a:graphic>
          </wp:inline>
        </w:drawing>
      </w:r>
    </w:p>
    <w:p>
      <w:pPr>
        <w:spacing w:after="240"/>
        <w:jc w:val="center"/>
      </w:pPr>
      <w:r>
        <w:rPr>
          <w:i/>
          <w:iCs/>
          <w:color w:val="666666"/>
          <w:sz w:val="18"/>
          <w:szCs w:val="18"/>
        </w:rPr>
        <w:t xml:space="preserve">Figure 1. Synthetic drive-cycle current and per-cell mean temperatures (degraded-TIM scenario).</w:t>
      </w:r>
    </w:p>
    <w:p>
      <w:pPr>
        <w:spacing w:after="60" w:before="120"/>
        <w:jc w:val="center"/>
      </w:pPr>
      <w:r>
        <w:drawing>
          <wp:inline distT="0" distB="0" distL="0" distR="0">
            <wp:extent cx="5715000" cy="2076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5715000" cy="2076450"/>
                    </a:xfrm>
                    <a:prstGeom prst="rect">
                      <a:avLst/>
                    </a:prstGeom>
                  </pic:spPr>
                </pic:pic>
              </a:graphicData>
            </a:graphic>
          </wp:inline>
        </w:drawing>
      </w:r>
    </w:p>
    <w:p>
      <w:pPr>
        <w:spacing w:after="240"/>
        <w:jc w:val="center"/>
      </w:pPr>
      <w:r>
        <w:rPr>
          <w:i/>
          <w:iCs/>
          <w:color w:val="666666"/>
          <w:sz w:val="18"/>
          <w:szCs w:val="18"/>
        </w:rPr>
        <w:t xml:space="preserve">Figure 2. Final temperature field. Left: mid-height x-y slice showing the TIM-fault hot band. Right: y-z slice showing the gradient toward the cooled floor at z = 0.</w:t>
      </w:r>
    </w:p>
    <w:p>
      <w:pPr>
        <w:pStyle w:val="Heading2"/>
        <w:spacing w:after="160" w:before="280"/>
      </w:pPr>
      <w:r>
        <w:t xml:space="preserve">7.2 Inverse experiment: parameter recovery through the solver adjoint</w:t>
      </w:r>
    </w:p>
    <w:p>
      <w:pPr>
        <w:spacing w:after="160" w:line="300"/>
      </w:pPr>
      <w:r>
        <w:rPr>
          <w:color w:val="1A1A1A"/>
          <w:sz w:val="22"/>
          <w:szCs w:val="22"/>
        </w:rPr>
        <w:t xml:space="preserve">Ground truth was generated on the coarse pack with cell 3 at 1.8 mOhm (3x nominal). Synthetic measurements were the top-center voxel of each of the 6 cells, sampled every 10 seconds with 0.05 C Gaussian noise, giving 12 snapshots over a 120-second cycle. Starting all cells at nominal 0.6 mOhm, 40 Adam iterations on the taped rollout produced:</w:t>
      </w:r>
    </w:p>
    <w:tbl>
      <w:tblPr>
        <w:tblW w:type="dxa" w:w="9600"/>
        <w:tblBorders>
          <w:top w:val="single" w:color="auto" w:sz="4"/>
          <w:left w:val="single" w:color="auto" w:sz="4"/>
          <w:bottom w:val="single" w:color="auto" w:sz="4"/>
          <w:right w:val="single" w:color="auto" w:sz="4"/>
          <w:insideH w:val="single" w:color="auto" w:sz="4"/>
          <w:insideV w:val="single" w:color="auto" w:sz="4"/>
        </w:tblBorders>
      </w:tblPr>
      <w:tblGrid>
        <w:gridCol w:w="4800"/>
        <w:gridCol w:w="4800"/>
      </w:tblGrid>
      <w:tr>
        <w:tc>
          <w:tcPr>
            <w:tcW w:type="dxa" w:w="4800"/>
            <w:shd w:fill="EFE9DD" w:val="clear"/>
            <w:tcMar>
              <w:top w:type="dxa" w:w="60"/>
              <w:left w:type="dxa" w:w="100"/>
              <w:bottom w:type="dxa" w:w="60"/>
              <w:right w:type="dxa" w:w="100"/>
            </w:tcMar>
          </w:tcPr>
          <w:p>
            <w:r>
              <w:rPr>
                <w:b/>
                <w:bCs/>
                <w:color w:val="1A1A1A"/>
                <w:sz w:val="19"/>
                <w:szCs w:val="19"/>
              </w:rPr>
              <w:t xml:space="preserve">Quantity</w:t>
            </w:r>
          </w:p>
        </w:tc>
        <w:tc>
          <w:tcPr>
            <w:tcW w:type="dxa" w:w="4800"/>
            <w:shd w:fill="EFE9DD" w:val="clear"/>
            <w:tcMar>
              <w:top w:type="dxa" w:w="60"/>
              <w:left w:type="dxa" w:w="100"/>
              <w:bottom w:type="dxa" w:w="60"/>
              <w:right w:type="dxa" w:w="100"/>
            </w:tcMar>
          </w:tcPr>
          <w:p>
            <w:r>
              <w:rPr>
                <w:b/>
                <w:bCs/>
                <w:color w:val="1A1A1A"/>
                <w:sz w:val="19"/>
                <w:szCs w:val="19"/>
              </w:rPr>
              <w:t xml:space="preserve">Value</w:t>
            </w:r>
          </w:p>
        </w:tc>
      </w:tr>
      <w:tr>
        <w:tc>
          <w:tcPr>
            <w:tcW w:type="dxa" w:w="4800"/>
            <w:tcMar>
              <w:top w:type="dxa" w:w="60"/>
              <w:left w:type="dxa" w:w="100"/>
              <w:bottom w:type="dxa" w:w="60"/>
              <w:right w:type="dxa" w:w="100"/>
            </w:tcMar>
          </w:tcPr>
          <w:p>
            <w:r>
              <w:rPr>
                <w:b w:val="false"/>
                <w:bCs w:val="false"/>
                <w:color w:val="1A1A1A"/>
                <w:sz w:val="19"/>
                <w:szCs w:val="19"/>
              </w:rPr>
              <w:t xml:space="preserve">Faulty cell R_int, recovered vs true</w:t>
            </w:r>
          </w:p>
        </w:tc>
        <w:tc>
          <w:tcPr>
            <w:tcW w:type="dxa" w:w="4800"/>
            <w:tcMar>
              <w:top w:type="dxa" w:w="60"/>
              <w:left w:type="dxa" w:w="100"/>
              <w:bottom w:type="dxa" w:w="60"/>
              <w:right w:type="dxa" w:w="100"/>
            </w:tcMar>
          </w:tcPr>
          <w:p>
            <w:r>
              <w:rPr>
                <w:b w:val="false"/>
                <w:bCs w:val="false"/>
                <w:color w:val="1A1A1A"/>
                <w:sz w:val="19"/>
                <w:szCs w:val="19"/>
              </w:rPr>
              <w:t xml:space="preserve">1.793 vs 1.800 mOhm (0.4% error)</w:t>
            </w:r>
          </w:p>
        </w:tc>
      </w:tr>
      <w:tr>
        <w:tc>
          <w:tcPr>
            <w:tcW w:type="dxa" w:w="4800"/>
            <w:tcMar>
              <w:top w:type="dxa" w:w="60"/>
              <w:left w:type="dxa" w:w="100"/>
              <w:bottom w:type="dxa" w:w="60"/>
              <w:right w:type="dxa" w:w="100"/>
            </w:tcMar>
          </w:tcPr>
          <w:p>
            <w:r>
              <w:rPr>
                <w:b w:val="false"/>
                <w:bCs w:val="false"/>
                <w:color w:val="1A1A1A"/>
                <w:sz w:val="19"/>
                <w:szCs w:val="19"/>
              </w:rPr>
              <w:t xml:space="preserve">Healthy cells, worst deviation from nominal</w:t>
            </w:r>
          </w:p>
        </w:tc>
        <w:tc>
          <w:tcPr>
            <w:tcW w:type="dxa" w:w="4800"/>
            <w:tcMar>
              <w:top w:type="dxa" w:w="60"/>
              <w:left w:type="dxa" w:w="100"/>
              <w:bottom w:type="dxa" w:w="60"/>
              <w:right w:type="dxa" w:w="100"/>
            </w:tcMar>
          </w:tcPr>
          <w:p>
            <w:r>
              <w:rPr>
                <w:b w:val="false"/>
                <w:bCs w:val="false"/>
                <w:color w:val="1A1A1A"/>
                <w:sz w:val="19"/>
                <w:szCs w:val="19"/>
              </w:rPr>
              <w:t xml:space="preserve">9.0% (within 20% tolerance)</w:t>
            </w:r>
          </w:p>
        </w:tc>
      </w:tr>
      <w:tr>
        <w:tc>
          <w:tcPr>
            <w:tcW w:type="dxa" w:w="4800"/>
            <w:tcMar>
              <w:top w:type="dxa" w:w="60"/>
              <w:left w:type="dxa" w:w="100"/>
              <w:bottom w:type="dxa" w:w="60"/>
              <w:right w:type="dxa" w:w="100"/>
            </w:tcMar>
          </w:tcPr>
          <w:p>
            <w:r>
              <w:rPr>
                <w:b w:val="false"/>
                <w:bCs w:val="false"/>
                <w:color w:val="1A1A1A"/>
                <w:sz w:val="19"/>
                <w:szCs w:val="19"/>
              </w:rPr>
              <w:t xml:space="preserve">Loss reduction</w:t>
            </w:r>
          </w:p>
        </w:tc>
        <w:tc>
          <w:tcPr>
            <w:tcW w:type="dxa" w:w="4800"/>
            <w:tcMar>
              <w:top w:type="dxa" w:w="60"/>
              <w:left w:type="dxa" w:w="100"/>
              <w:bottom w:type="dxa" w:w="60"/>
              <w:right w:type="dxa" w:w="100"/>
            </w:tcMar>
          </w:tcPr>
          <w:p>
            <w:r>
              <w:rPr>
                <w:b w:val="false"/>
                <w:bCs w:val="false"/>
                <w:color w:val="1A1A1A"/>
                <w:sz w:val="19"/>
                <w:szCs w:val="19"/>
              </w:rPr>
              <w:t xml:space="preserve">1.363 to 0.123 (sensor MSE)</w:t>
            </w:r>
          </w:p>
        </w:tc>
      </w:tr>
      <w:tr>
        <w:tc>
          <w:tcPr>
            <w:tcW w:type="dxa" w:w="4800"/>
            <w:tcMar>
              <w:top w:type="dxa" w:w="60"/>
              <w:left w:type="dxa" w:w="100"/>
              <w:bottom w:type="dxa" w:w="60"/>
              <w:right w:type="dxa" w:w="100"/>
            </w:tcMar>
          </w:tcPr>
          <w:p>
            <w:r>
              <w:rPr>
                <w:b w:val="false"/>
                <w:bCs w:val="false"/>
                <w:color w:val="1A1A1A"/>
                <w:sz w:val="19"/>
                <w:szCs w:val="19"/>
              </w:rPr>
              <w:t xml:space="preserve">Wall time, 40 forward+backward passes</w:t>
            </w:r>
          </w:p>
        </w:tc>
        <w:tc>
          <w:tcPr>
            <w:tcW w:type="dxa" w:w="4800"/>
            <w:tcMar>
              <w:top w:type="dxa" w:w="60"/>
              <w:left w:type="dxa" w:w="100"/>
              <w:bottom w:type="dxa" w:w="60"/>
              <w:right w:type="dxa" w:w="100"/>
            </w:tcMar>
          </w:tcPr>
          <w:p>
            <w:r>
              <w:rPr>
                <w:b w:val="false"/>
                <w:bCs w:val="false"/>
                <w:color w:val="1A1A1A"/>
                <w:sz w:val="19"/>
                <w:szCs w:val="19"/>
              </w:rPr>
              <w:t xml:space="preserve">9.0 s (CPU)</w:t>
            </w:r>
          </w:p>
        </w:tc>
      </w:tr>
    </w:tbl>
    <w:p>
      <w:pPr>
        <w:spacing w:after="160" w:line="300"/>
      </w:pPr>
      <w:r>
        <w:rPr>
          <w:color w:val="1A1A1A"/>
          <w:sz w:val="22"/>
          <w:szCs w:val="22"/>
        </w:rPr>
        <w:t xml:space="preserve"/>
      </w:r>
    </w:p>
    <w:p>
      <w:pPr>
        <w:spacing w:after="60" w:before="120"/>
        <w:jc w:val="center"/>
      </w:pPr>
      <w:r>
        <w:drawing>
          <wp:inline distT="0" distB="0" distL="0" distR="0">
            <wp:extent cx="5524500" cy="22098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5524500" cy="2209800"/>
                    </a:xfrm>
                    <a:prstGeom prst="rect">
                      <a:avLst/>
                    </a:prstGeom>
                  </pic:spPr>
                </pic:pic>
              </a:graphicData>
            </a:graphic>
          </wp:inline>
        </w:drawing>
      </w:r>
    </w:p>
    <w:p>
      <w:pPr>
        <w:spacing w:after="240"/>
        <w:jc w:val="center"/>
      </w:pPr>
      <w:r>
        <w:rPr>
          <w:i/>
          <w:iCs/>
          <w:color w:val="666666"/>
          <w:sz w:val="18"/>
          <w:szCs w:val="18"/>
        </w:rPr>
        <w:t xml:space="preserve">Figure 3. Left: loss under backpropagation through the full rollout. Right: per-cell R_int trajectories; the faulty cell (rust) converges to truth while healthy cells (teal) hold at nominal.</w:t>
      </w:r>
    </w:p>
    <w:p>
      <w:pPr>
        <w:spacing w:after="160" w:line="300"/>
      </w:pPr>
      <w:r>
        <w:rPr>
          <w:color w:val="1A1A1A"/>
          <w:sz w:val="22"/>
          <w:szCs w:val="22"/>
        </w:rPr>
        <w:t xml:space="preserve">This experiment is retained as the standing benchmark for Phase 1: the PINN attacks the identical inverse problem with the identical sensors, and is compared on estimation error and wall time.</w:t>
      </w:r>
    </w:p>
    <w:p>
      <w:pPr>
        <w:pStyle w:val="Heading1"/>
        <w:spacing w:after="200" w:before="360"/>
      </w:pPr>
      <w:r>
        <w:t xml:space="preserve">8. Verification and Pipeline Automation</w:t>
      </w:r>
    </w:p>
    <w:p>
      <w:pPr>
        <w:spacing w:after="160" w:line="300"/>
      </w:pPr>
      <w:r>
        <w:rPr>
          <w:color w:val="1A1A1A"/>
          <w:sz w:val="22"/>
          <w:szCs w:val="22"/>
        </w:rPr>
        <w:t xml:space="preserve">run_all.bat (Windows) and run_all.sh (Linux/WSL/macOS) execute the full pipeline in five gated steps: virtual environment and dependency installation, dataset generation, inverse demo, figure rendering, and verification. Any step failure aborts with a diagnostic banner.</w:t>
      </w:r>
    </w:p>
    <w:p>
      <w:pPr>
        <w:spacing w:after="160" w:line="300"/>
      </w:pPr>
      <w:r>
        <w:rPr>
          <w:color w:val="1A1A1A"/>
          <w:sz w:val="22"/>
          <w:szCs w:val="22"/>
        </w:rPr>
        <w:t xml:space="preserve">scripts/verify.py is the acceptance gate. It checks that scenario files exist, all temperature fields are finite and within 5 to 90 C, cells measurably heat under the drive cycle, the inverse loss at least halved, the faulty cell resistance is within 5 percent of truth, and healthy cells are within 20 percent of nominal. It exits nonzero on any failure, making it directly usable as a CI gate. Current status: 11 of 11 checks pass.</w:t>
      </w:r>
    </w:p>
    <w:p>
      <w:pPr>
        <w:pStyle w:val="Heading1"/>
        <w:spacing w:after="200" w:before="360"/>
      </w:pPr>
      <w:r>
        <w:t xml:space="preserve">9. Known Simplifications and Upgrade Path</w:t>
      </w:r>
    </w:p>
    <w:p>
      <w:pPr>
        <w:pStyle w:val="ListParagraph"/>
        <w:numPr>
          <w:ilvl w:val="0"/>
          <w:numId w:val="2"/>
        </w:numPr>
        <w:spacing w:after="100" w:line="280"/>
      </w:pPr>
      <w:r>
        <w:rPr>
          <w:color w:val="1A1A1A"/>
          <w:sz w:val="22"/>
          <w:szCs w:val="22"/>
        </w:rPr>
        <w:t xml:space="preserve">Explicit time stepping; swap in ADI or implicit if finer voxels, cold-plate metal, or stiffer materials are added.</w:t>
      </w:r>
    </w:p>
    <w:p>
      <w:pPr>
        <w:pStyle w:val="ListParagraph"/>
        <w:numPr>
          <w:ilvl w:val="0"/>
          <w:numId w:val="2"/>
        </w:numPr>
        <w:spacing w:after="100" w:line="280"/>
      </w:pPr>
      <w:r>
        <w:rPr>
          <w:color w:val="1A1A1A"/>
          <w:sz w:val="22"/>
          <w:szCs w:val="22"/>
        </w:rPr>
        <w:t xml:space="preserve">Coolant model is a 1D march with approximate one-way energy coupling; adequate for surrogate ground truth, not for cold-plate design.</w:t>
      </w:r>
    </w:p>
    <w:p>
      <w:pPr>
        <w:pStyle w:val="ListParagraph"/>
        <w:numPr>
          <w:ilvl w:val="0"/>
          <w:numId w:val="2"/>
        </w:numPr>
        <w:spacing w:after="100" w:line="280"/>
      </w:pPr>
      <w:r>
        <w:rPr>
          <w:color w:val="1A1A1A"/>
          <w:sz w:val="22"/>
          <w:szCs w:val="22"/>
        </w:rPr>
        <w:t xml:space="preserve">R_int is constant per cell; hooking PyBaMM ECM output into heat_source gives SOC- and temperature-dependent generation.</w:t>
      </w:r>
    </w:p>
    <w:p>
      <w:pPr>
        <w:pStyle w:val="ListParagraph"/>
        <w:numPr>
          <w:ilvl w:val="0"/>
          <w:numId w:val="2"/>
        </w:numPr>
        <w:spacing w:after="100" w:line="280"/>
      </w:pPr>
      <w:r>
        <w:rPr>
          <w:color w:val="1A1A1A"/>
          <w:sz w:val="22"/>
          <w:szCs w:val="22"/>
        </w:rPr>
        <w:t xml:space="preserve">No busbar joule heating or tab conduction paths yet; both are straightforward additional source and conductivity maps.</w:t>
      </w:r>
    </w:p>
    <w:p>
      <w:pPr>
        <w:pStyle w:val="ListParagraph"/>
        <w:numPr>
          <w:ilvl w:val="0"/>
          <w:numId w:val="2"/>
        </w:numPr>
        <w:spacing w:after="100" w:line="280"/>
      </w:pPr>
      <w:r>
        <w:rPr>
          <w:color w:val="1A1A1A"/>
          <w:sz w:val="22"/>
          <w:szCs w:val="22"/>
        </w:rPr>
        <w:t xml:space="preserve">Synthetic drive cycles; replace with logged WLTP/US06 current traces when available.</w:t>
      </w:r>
    </w:p>
    <w:p>
      <w:pPr>
        <w:pStyle w:val="Heading1"/>
        <w:spacing w:after="200" w:before="360"/>
      </w:pPr>
      <w:r>
        <w:t xml:space="preserve">10. Roadmap: How Each Phase Consumes This Layer</w:t>
      </w:r>
    </w:p>
    <w:p>
      <w:pPr>
        <w:spacing w:after="160" w:line="300"/>
      </w:pPr>
      <w:r>
        <w:rPr>
          <w:color w:val="1A1A1A"/>
          <w:sz w:val="22"/>
          <w:szCs w:val="22"/>
        </w:rPr>
        <w:t xml:space="preserve">Phase 1 (PINN, physicsnemo.sym) solves the Section 7.2 inverse problem with physics residual losses instead of the numerical adjoint, benchmarked head to head. Phase 2 trains an FNO baseline and the KNO on the exported voxel snapshots, which reshape directly to the (nx, ny, nz) grid; because the ground-truth solver is differentiable, solver-in-the-loop physics-informed fine-tuning needs no additional machinery, and the KNO's Koopman spectrum becomes a monitorable health feature. Phase 3 builds MeshGraphNet training data from per-cell means plus the adjacency implied by the TIM slab list, targeting generalization across module counts. Phase 4 closes the loop with residual and innovation detectors plus Koopman eigenvalue tracking, benchmarked for detection delay on the labeled fault corpus.</w:t>
      </w:r>
    </w:p>
    <w:p>
      <w:pPr>
        <w:pStyle w:val="Heading1"/>
        <w:spacing w:after="200" w:before="360"/>
      </w:pPr>
      <w:r>
        <w:t xml:space="preserve">Appendix A. Repository Layout and Usage</w:t>
      </w:r>
    </w:p>
    <w:p>
      <w:pPr>
        <w:shd w:fill="F4F1EA" w:val="clear"/>
        <w:spacing w:after="60"/>
      </w:pPr>
      <w:r>
        <w:rPr>
          <w:rFonts w:ascii="Consolas" w:cs="Consolas" w:eastAsia="Consolas" w:hAnsi="Consolas"/>
          <w:color w:val="1A1A1A"/>
          <w:sz w:val="18"/>
          <w:szCs w:val="18"/>
        </w:rPr>
        <w:t xml:space="preserve">battery_thermal/config.py       presets: coarse, demo, full</w:t>
      </w:r>
    </w:p>
    <w:p>
      <w:pPr>
        <w:shd w:fill="F4F1EA" w:val="clear"/>
        <w:spacing w:after="60"/>
      </w:pPr>
      <w:r>
        <w:rPr>
          <w:rFonts w:ascii="Consolas" w:cs="Consolas" w:eastAsia="Consolas" w:hAnsi="Consolas"/>
          <w:color w:val="1A1A1A"/>
          <w:sz w:val="18"/>
          <w:szCs w:val="18"/>
        </w:rPr>
        <w:t xml:space="preserve">battery_thermal/geometry.py     voxel pack builder, channel maps, sensors</w:t>
      </w:r>
    </w:p>
    <w:p>
      <w:pPr>
        <w:shd w:fill="F4F1EA" w:val="clear"/>
        <w:spacing w:after="60"/>
      </w:pPr>
      <w:r>
        <w:rPr>
          <w:rFonts w:ascii="Consolas" w:cs="Consolas" w:eastAsia="Consolas" w:hAnsi="Consolas"/>
          <w:color w:val="1A1A1A"/>
          <w:sz w:val="18"/>
          <w:szCs w:val="18"/>
        </w:rPr>
        <w:t xml:space="preserve">battery_thermal/drive_cycle.py  synthetic current profiles</w:t>
      </w:r>
    </w:p>
    <w:p>
      <w:pPr>
        <w:shd w:fill="F4F1EA" w:val="clear"/>
        <w:spacing w:after="60"/>
      </w:pPr>
      <w:r>
        <w:rPr>
          <w:rFonts w:ascii="Consolas" w:cs="Consolas" w:eastAsia="Consolas" w:hAnsi="Consolas"/>
          <w:color w:val="1A1A1A"/>
          <w:sz w:val="18"/>
          <w:szCs w:val="18"/>
        </w:rPr>
        <w:t xml:space="preserve">battery_thermal/solver.py       Warp kernels + tape-safe Simulator</w:t>
      </w:r>
    </w:p>
    <w:p>
      <w:pPr>
        <w:shd w:fill="F4F1EA" w:val="clear"/>
        <w:spacing w:after="60"/>
      </w:pPr>
      <w:r>
        <w:rPr>
          <w:rFonts w:ascii="Consolas" w:cs="Consolas" w:eastAsia="Consolas" w:hAnsi="Consolas"/>
          <w:color w:val="1A1A1A"/>
          <w:sz w:val="18"/>
          <w:szCs w:val="18"/>
        </w:rPr>
        <w:t xml:space="preserve">battery_thermal/faults.py       scenario-level fault injection</w:t>
      </w:r>
    </w:p>
    <w:p>
      <w:pPr>
        <w:shd w:fill="F4F1EA" w:val="clear"/>
        <w:spacing w:after="60"/>
      </w:pPr>
      <w:r>
        <w:rPr>
          <w:rFonts w:ascii="Consolas" w:cs="Consolas" w:eastAsia="Consolas" w:hAnsi="Consolas"/>
          <w:color w:val="1A1A1A"/>
          <w:sz w:val="18"/>
          <w:szCs w:val="18"/>
        </w:rPr>
        <w:t xml:space="preserve">scripts/generate_dataset.py     scenario sweep -&gt; compressed .npz</w:t>
      </w:r>
    </w:p>
    <w:p>
      <w:pPr>
        <w:shd w:fill="F4F1EA" w:val="clear"/>
        <w:spacing w:after="60"/>
      </w:pPr>
      <w:r>
        <w:rPr>
          <w:rFonts w:ascii="Consolas" w:cs="Consolas" w:eastAsia="Consolas" w:hAnsi="Consolas"/>
          <w:color w:val="1A1A1A"/>
          <w:sz w:val="18"/>
          <w:szCs w:val="18"/>
        </w:rPr>
        <w:t xml:space="preserve">scripts/demo_inverse.py         R_int recovery via solver adjoint</w:t>
      </w:r>
    </w:p>
    <w:p>
      <w:pPr>
        <w:shd w:fill="F4F1EA" w:val="clear"/>
        <w:spacing w:after="60"/>
      </w:pPr>
      <w:r>
        <w:rPr>
          <w:rFonts w:ascii="Consolas" w:cs="Consolas" w:eastAsia="Consolas" w:hAnsi="Consolas"/>
          <w:color w:val="1A1A1A"/>
          <w:sz w:val="18"/>
          <w:szCs w:val="18"/>
        </w:rPr>
        <w:t xml:space="preserve">scripts/make_figures.py         verification figures</w:t>
      </w:r>
    </w:p>
    <w:p>
      <w:pPr>
        <w:shd w:fill="F4F1EA" w:val="clear"/>
        <w:spacing w:after="60"/>
      </w:pPr>
      <w:r>
        <w:rPr>
          <w:rFonts w:ascii="Consolas" w:cs="Consolas" w:eastAsia="Consolas" w:hAnsi="Consolas"/>
          <w:color w:val="1A1A1A"/>
          <w:sz w:val="18"/>
          <w:szCs w:val="18"/>
        </w:rPr>
        <w:t xml:space="preserve">scripts/verify.py               PASS/FAIL acceptance gate</w:t>
      </w:r>
    </w:p>
    <w:p>
      <w:pPr>
        <w:shd w:fill="F4F1EA" w:val="clear"/>
        <w:spacing w:after="60"/>
      </w:pPr>
      <w:r>
        <w:rPr>
          <w:rFonts w:ascii="Consolas" w:cs="Consolas" w:eastAsia="Consolas" w:hAnsi="Consolas"/>
          <w:color w:val="1A1A1A"/>
          <w:sz w:val="18"/>
          <w:szCs w:val="18"/>
        </w:rPr>
        <w:t xml:space="preserve">run_all.bat / run_all.sh        one-command pipeline</w:t>
      </w:r>
    </w:p>
    <w:p>
      <w:pPr>
        <w:spacing w:after="160" w:line="300"/>
      </w:pPr>
      <w:r>
        <w:rPr>
          <w:color w:val="1A1A1A"/>
          <w:sz w:val="22"/>
          <w:szCs w:val="22"/>
        </w:rPr>
        <w:t xml:space="preserve"/>
      </w:r>
    </w:p>
    <w:p>
      <w:pPr>
        <w:spacing w:after="160" w:line="300"/>
      </w:pPr>
      <w:r>
        <w:rPr>
          <w:color w:val="1A1A1A"/>
          <w:sz w:val="22"/>
          <w:szCs w:val="22"/>
        </w:rPr>
        <w:t xml:space="preserve">Quick start: double-click run_all.bat on Windows, or ./run_all.sh on Linux/WSL. Manual runs use generate_dataset.py with --preset {coarse,demo,full}, --t-total, and --device (cpu or cuda:0). Each scenario exports snaps (S x n_vox float16 fields), cell_means, coolant, current, and a JSON meta record with fault and operating-point labels.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66666"/>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updateFields/>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rPr>
      <w:rFonts w:ascii="Georgia" w:cs="Georgia" w:eastAsia="Georgia" w:hAnsi="Georgia"/>
      <w:b/>
      <w:bCs/>
      <w:color w:val="B7410E"/>
      <w:sz w:val="32"/>
      <w:szCs w:val="32"/>
    </w:rPr>
  </w:style>
  <w:style w:type="paragraph" w:styleId="Heading2">
    <w:name w:val="Heading 2"/>
    <w:basedOn w:val="Normal"/>
    <w:next w:val="Normal"/>
    <w:qFormat/>
    <w:rPr>
      <w:rFonts w:ascii="Georgia" w:cs="Georgia" w:eastAsia="Georgia" w:hAnsi="Georgia"/>
      <w:b/>
      <w:bCs/>
      <w:color w:val="2A7F7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f0726b5380bc5caf64f1627eb180822d95ac226a.png"/><Relationship Id="rId9" Type="http://schemas.openxmlformats.org/officeDocument/2006/relationships/image" Target="media/0b70c3ddbcc471cc432bba84dd52002d2d16cafa.png"/><Relationship Id="rId10" Type="http://schemas.openxmlformats.org/officeDocument/2006/relationships/image" Target="media/5dd8341a41ee0ad34b1366145e9ecdbd63d8d454.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2026-07-16T17:34:02.227Z</dcterms:created>
  <dcterms:modified xsi:type="dcterms:W3CDTF">2026-07-16T17:34:02.240Z</dcterms:modified>
</cp:coreProperties>
</file>

<file path=docProps/custom.xml><?xml version="1.0" encoding="utf-8"?>
<Properties xmlns="http://schemas.openxmlformats.org/officeDocument/2006/custom-properties" xmlns:vt="http://schemas.openxmlformats.org/officeDocument/2006/docPropsVTypes"/>
</file>