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8C334" w14:textId="2F24E3F2" w:rsidR="00E93F8C" w:rsidRDefault="00000000" w:rsidP="00A948E7">
      <w:pPr>
        <w:spacing w:before="2400" w:after="240"/>
        <w:jc w:val="center"/>
      </w:pPr>
      <w:r>
        <w:rPr>
          <w:b/>
          <w:bCs/>
          <w:sz w:val="44"/>
          <w:szCs w:val="44"/>
        </w:rPr>
        <w:t xml:space="preserve">Physics-Informed Neural Networks </w:t>
      </w:r>
    </w:p>
    <w:p w14:paraId="0B054110" w14:textId="77777777" w:rsidR="00E93F8C" w:rsidRDefault="00000000">
      <w:r>
        <w:br w:type="page"/>
      </w:r>
    </w:p>
    <w:p w14:paraId="5995C46C" w14:textId="77777777" w:rsidR="00E93F8C" w:rsidRDefault="00000000">
      <w:pPr>
        <w:pStyle w:val="Heading1"/>
        <w:spacing w:before="360" w:after="200"/>
      </w:pPr>
      <w:bookmarkStart w:id="0" w:name="_Toc234222185"/>
      <w:r>
        <w:rPr>
          <w:b/>
          <w:bCs/>
          <w:color w:val="8A3B12"/>
        </w:rPr>
        <w:lastRenderedPageBreak/>
        <w:t>1. Executive Summary</w:t>
      </w:r>
      <w:bookmarkEnd w:id="0"/>
    </w:p>
    <w:p w14:paraId="619D441D" w14:textId="77777777" w:rsidR="00E93F8C" w:rsidRDefault="00000000">
      <w:pPr>
        <w:spacing w:after="160" w:line="300" w:lineRule="auto"/>
      </w:pPr>
      <w:r>
        <w:t>This report surveys the open-source landscape of physics-informed machine learning as it applies to vehicle subsystem modeling, with emphasis on the components most relevant to vehicle health management: the traction battery, the inverter and power electronics, and the electric machine. The central finding is that no repository today offers a pretrained, end-to-end physics-informed model of a complete vehicle. What does exist, and is directly usable, is a set of mature subsystem-level codebases: NVIDIA PhysicsNeMo as a general framework with physics-informed training machinery and pretrained automotive aerodynamics checkpoints, PINN4SOH for battery state-of-health prognostics, and the Thermal Neural Network family for electric machine temperature estimation.</w:t>
      </w:r>
    </w:p>
    <w:p w14:paraId="694B076A" w14:textId="77777777" w:rsidR="00E93F8C" w:rsidRDefault="00000000">
      <w:pPr>
        <w:spacing w:after="160" w:line="300" w:lineRule="auto"/>
      </w:pPr>
      <w:r>
        <w:t>These repositories differ in an important architectural respect. PINN4SOH follows the classical physics-informed loss approach, in which governing equations penalize the network during training. The Thermal Neural Network instead embeds the physics structurally: the network parameterizes a lumped-parameter thermal network whose ordinary differential equations are solved at every step, so physical consistency is built into the forward pass rather than encouraged by a loss term. Both philosophies are relevant to prognostics and health management work, and both are lightweight enough to prototype on a laptop before scaling into PhysicsNeMo's multi-GPU, neural-operator infrastructure.</w:t>
      </w:r>
    </w:p>
    <w:p w14:paraId="7E686983" w14:textId="77777777" w:rsidR="00E93F8C" w:rsidRDefault="00000000">
      <w:pPr>
        <w:spacing w:after="160" w:line="300" w:lineRule="auto"/>
      </w:pPr>
      <w:r>
        <w:t>The recommended path is therefore staged: reproduce the standalone subsystem models first, validate them against their published datasets, and only then port the physics residuals into PhysicsNeMo's symbolic module, where distributed training, Fourier neural operators, and deterministic sampling pipelines become available. A companion implementation plan for an agentic development workflow accompanies this report.</w:t>
      </w:r>
    </w:p>
    <w:p w14:paraId="06A4B809" w14:textId="77777777" w:rsidR="00E93F8C" w:rsidRDefault="00000000">
      <w:pPr>
        <w:pStyle w:val="Heading1"/>
        <w:spacing w:before="360" w:after="200"/>
      </w:pPr>
      <w:bookmarkStart w:id="1" w:name="_Toc234222186"/>
      <w:r>
        <w:rPr>
          <w:b/>
          <w:bCs/>
          <w:color w:val="8A3B12"/>
        </w:rPr>
        <w:t>2. Background: Physics-Informed Learning Approaches</w:t>
      </w:r>
      <w:bookmarkEnd w:id="1"/>
    </w:p>
    <w:p w14:paraId="7834E50B" w14:textId="77777777" w:rsidR="00E93F8C" w:rsidRDefault="00000000">
      <w:pPr>
        <w:pStyle w:val="Heading2"/>
        <w:spacing w:before="280" w:after="160"/>
      </w:pPr>
      <w:bookmarkStart w:id="2" w:name="_Toc234222187"/>
      <w:r>
        <w:rPr>
          <w:b/>
          <w:bCs/>
          <w:color w:val="1F2430"/>
        </w:rPr>
        <w:t>2.1 Physics-informed neural networks</w:t>
      </w:r>
      <w:bookmarkEnd w:id="2"/>
    </w:p>
    <w:p w14:paraId="2043C48B" w14:textId="77777777" w:rsidR="00E93F8C" w:rsidRDefault="00000000">
      <w:pPr>
        <w:spacing w:after="160" w:line="300" w:lineRule="auto"/>
      </w:pPr>
      <w:r>
        <w:t>A physics-informed neural network approximates the solution of a differential equation by adding the equation's residual to the training loss. Given a partial differential equation and boundary conditions, automatic differentiation computes spatial and temporal derivatives of the network output, and the training objective balances data fidelity against physics consistency. The approach is attractive when data are sparse or expensive, because the governing equations act as an inductive bias and a regularizer. Its known weaknesses are optimization difficulty on stiff or multi-scale systems and sensitivity to loss weighting.</w:t>
      </w:r>
    </w:p>
    <w:p w14:paraId="62D7D18D" w14:textId="77777777" w:rsidR="00E93F8C" w:rsidRDefault="00000000">
      <w:pPr>
        <w:pStyle w:val="Heading2"/>
        <w:spacing w:before="280" w:after="160"/>
      </w:pPr>
      <w:bookmarkStart w:id="3" w:name="_Toc234222188"/>
      <w:r>
        <w:rPr>
          <w:b/>
          <w:bCs/>
          <w:color w:val="1F2430"/>
        </w:rPr>
        <w:t>2.2 Neural operators</w:t>
      </w:r>
      <w:bookmarkEnd w:id="3"/>
    </w:p>
    <w:p w14:paraId="0C8EEBE3" w14:textId="77777777" w:rsidR="00E93F8C" w:rsidRDefault="00000000">
      <w:pPr>
        <w:spacing w:after="160" w:line="300" w:lineRule="auto"/>
      </w:pPr>
      <w:r>
        <w:t xml:space="preserve">Neural operators, of which the Fourier Neural Operator is the best-known example, learn mappings between function spaces rather than pointwise solutions. Once trained, they evaluate </w:t>
      </w:r>
      <w:r>
        <w:lastRenderedPageBreak/>
        <w:t>new parameter configurations or boundary conditions in a single forward pass, which makes them attractive as fast surrogates for design sweeps and digital twins. The physics-informed neural operator combines both ideas, using equation residuals to fine-tune or regularize operator training, mitigating the data cost of pure operator learning and the optimization fragility of pure physics-informed training.</w:t>
      </w:r>
    </w:p>
    <w:p w14:paraId="61FC18E3" w14:textId="77777777" w:rsidR="00E93F8C" w:rsidRDefault="00000000">
      <w:pPr>
        <w:pStyle w:val="Heading2"/>
        <w:spacing w:before="280" w:after="160"/>
      </w:pPr>
      <w:bookmarkStart w:id="4" w:name="_Toc234222189"/>
      <w:r>
        <w:rPr>
          <w:b/>
          <w:bCs/>
          <w:color w:val="1F2430"/>
        </w:rPr>
        <w:t>2.3 Structurally embedded physics</w:t>
      </w:r>
      <w:bookmarkEnd w:id="4"/>
    </w:p>
    <w:p w14:paraId="1F53A9DD" w14:textId="77777777" w:rsidR="00E93F8C" w:rsidRDefault="00000000">
      <w:pPr>
        <w:spacing w:after="160" w:line="300" w:lineRule="auto"/>
      </w:pPr>
      <w:r>
        <w:t>A third family avoids the loss-penalty formulation entirely. Here the network's architecture is the physical model: state-space structure, conservation laws, or an equivalent-circuit topology are hard-coded, and learning is confined to the physically meaningful parameters or nonlinearities within that structure. The Thermal Neural Network discussed in Section 4 is a canonical example. For safety-relevant automotive estimation tasks, this family has the advantage that predictions cannot drift into physically impossible regimes, and the learned parameters retain engineering interpretability.</w:t>
      </w:r>
    </w:p>
    <w:p w14:paraId="67A83E40" w14:textId="77777777" w:rsidR="00E93F8C" w:rsidRDefault="00000000">
      <w:pPr>
        <w:pStyle w:val="Heading1"/>
        <w:spacing w:before="360" w:after="200"/>
      </w:pPr>
      <w:bookmarkStart w:id="5" w:name="_Toc234222190"/>
      <w:r>
        <w:rPr>
          <w:b/>
          <w:bCs/>
          <w:color w:val="8A3B12"/>
        </w:rPr>
        <w:t>3. The NVIDIA PhysicsNeMo Ecosystem</w:t>
      </w:r>
      <w:bookmarkEnd w:id="5"/>
    </w:p>
    <w:p w14:paraId="3C691B94" w14:textId="77777777" w:rsidR="00E93F8C" w:rsidRDefault="00000000">
      <w:pPr>
        <w:pStyle w:val="Heading2"/>
        <w:spacing w:before="280" w:after="160"/>
      </w:pPr>
      <w:bookmarkStart w:id="6" w:name="_Toc234222191"/>
      <w:r>
        <w:rPr>
          <w:b/>
          <w:bCs/>
          <w:color w:val="1F2430"/>
        </w:rPr>
        <w:t>3.1 Core framework</w:t>
      </w:r>
      <w:bookmarkEnd w:id="6"/>
    </w:p>
    <w:p w14:paraId="2753E00C" w14:textId="77777777" w:rsidR="00E93F8C" w:rsidRDefault="00000000">
      <w:pPr>
        <w:spacing w:after="160" w:line="300" w:lineRule="auto"/>
      </w:pPr>
      <w:r>
        <w:t>PhysicsNeMo is NVIDIA's open-source, Apache 2.0 licensed framework for building, training, and fine-tuning physics-ML models on top of PyTorch. It ships a model zoo of neural operators, graph neural networks, diffusion models, and transformer architectures optimized for domains including computational fluid dynamics, structural mechanics, and electromagnetics, together with data pipelines tuned for meshes and point clouds and a distributed-computing submodule built on torch.distributed for multi-GPU and multi-node scaling.</w:t>
      </w:r>
    </w:p>
    <w:p w14:paraId="57C6F9AF" w14:textId="77777777" w:rsidR="00E93F8C" w:rsidRDefault="00000000">
      <w:pPr>
        <w:pStyle w:val="Heading2"/>
        <w:spacing w:before="280" w:after="160"/>
      </w:pPr>
      <w:bookmarkStart w:id="7" w:name="_Toc234222192"/>
      <w:r>
        <w:rPr>
          <w:b/>
          <w:bCs/>
          <w:color w:val="1F2430"/>
        </w:rPr>
        <w:t>3.2 The symbolic module</w:t>
      </w:r>
      <w:bookmarkEnd w:id="7"/>
    </w:p>
    <w:p w14:paraId="076599CD" w14:textId="77777777" w:rsidR="00E93F8C" w:rsidRDefault="00000000">
      <w:pPr>
        <w:spacing w:after="160" w:line="300" w:lineRule="auto"/>
      </w:pPr>
      <w:r>
        <w:t>Physics-informed training in the current PhysicsNeMo lives in the physicsnemo.sym module, installed with the sym extra. It provides symbolic definition of partial differential equations through SymPy and computes physics-informed losses with automatic spatial derivatives. This is the natural landing zone for custom vehicle-subsystem residuals: battery diffusion equations, thermal conduction networks, or electromagnetic field problems can be expressed symbolically and attached to any architecture in the model zoo. The examples catalog includes physics-informed training recipes spanning classical PINNs, physics-informed neural operators, and physics-informed fine-tuning of data-driven models.</w:t>
      </w:r>
    </w:p>
    <w:p w14:paraId="5FC9FE2D" w14:textId="77777777" w:rsidR="00E93F8C" w:rsidRDefault="00000000">
      <w:pPr>
        <w:pStyle w:val="Heading2"/>
        <w:spacing w:before="280" w:after="160"/>
      </w:pPr>
      <w:bookmarkStart w:id="8" w:name="_Toc234222193"/>
      <w:r>
        <w:rPr>
          <w:b/>
          <w:bCs/>
          <w:color w:val="1F2430"/>
        </w:rPr>
        <w:t>3.3 Examples relevant to vehicle work</w:t>
      </w:r>
      <w:bookmarkEnd w:id="8"/>
    </w:p>
    <w:p w14:paraId="6328E0BB" w14:textId="77777777" w:rsidR="00E93F8C" w:rsidRDefault="00000000">
      <w:pPr>
        <w:pStyle w:val="ListParagraph"/>
        <w:numPr>
          <w:ilvl w:val="0"/>
          <w:numId w:val="2"/>
        </w:numPr>
        <w:spacing w:after="100" w:line="290" w:lineRule="auto"/>
      </w:pPr>
      <w:r>
        <w:t>An inverse PINN that recovers unknown advection-diffusion coefficients, specifically kinematic viscosity and thermal diffusivity, from OpenFOAM observations of a heat-sink configuration. This maps almost directly onto inverter cold-plate and power-module thermal characterization.</w:t>
      </w:r>
    </w:p>
    <w:p w14:paraId="324264B7" w14:textId="77777777" w:rsidR="00E93F8C" w:rsidRDefault="00000000">
      <w:pPr>
        <w:pStyle w:val="ListParagraph"/>
        <w:numPr>
          <w:ilvl w:val="0"/>
          <w:numId w:val="2"/>
        </w:numPr>
        <w:spacing w:after="100" w:line="290" w:lineRule="auto"/>
      </w:pPr>
      <w:r>
        <w:lastRenderedPageBreak/>
        <w:t>A lid-driven cavity flow solved with a purely physics-driven PINN, the canonical starting recipe for learning the sym module's workflow.</w:t>
      </w:r>
    </w:p>
    <w:p w14:paraId="381E80D8" w14:textId="77777777" w:rsidR="00E93F8C" w:rsidRDefault="00000000">
      <w:pPr>
        <w:pStyle w:val="ListParagraph"/>
        <w:numPr>
          <w:ilvl w:val="0"/>
          <w:numId w:val="2"/>
        </w:numPr>
        <w:spacing w:after="100" w:line="290" w:lineRule="auto"/>
      </w:pPr>
      <w:r>
        <w:t>Machine learning surrogates for automotive crashworthiness assessment, demonstrating the framework on vehicle-scale structural problems.</w:t>
      </w:r>
    </w:p>
    <w:p w14:paraId="0541B970" w14:textId="77777777" w:rsidR="00E93F8C" w:rsidRDefault="00000000">
      <w:pPr>
        <w:pStyle w:val="ListParagraph"/>
        <w:numPr>
          <w:ilvl w:val="0"/>
          <w:numId w:val="2"/>
        </w:numPr>
        <w:spacing w:after="100" w:line="290" w:lineRule="auto"/>
      </w:pPr>
      <w:r>
        <w:t>Data-driven Fourier Neural Operator and Transolver recipes on Darcy flow, the standard on-ramp to the neural operator machinery.</w:t>
      </w:r>
    </w:p>
    <w:p w14:paraId="45739E6E" w14:textId="77777777" w:rsidR="00E93F8C" w:rsidRDefault="00000000">
      <w:pPr>
        <w:pStyle w:val="ListParagraph"/>
        <w:numPr>
          <w:ilvl w:val="0"/>
          <w:numId w:val="2"/>
        </w:numPr>
        <w:spacing w:after="100" w:line="290" w:lineRule="auto"/>
      </w:pPr>
      <w:r>
        <w:t>A 3D UNet surrogate for datacenter airflow, a template for enclosure-level thermal management problems such as battery pack cooling.</w:t>
      </w:r>
    </w:p>
    <w:p w14:paraId="7F91CA42" w14:textId="77777777" w:rsidR="00E93F8C" w:rsidRDefault="00000000">
      <w:pPr>
        <w:pStyle w:val="Heading2"/>
        <w:spacing w:before="280" w:after="160"/>
      </w:pPr>
      <w:bookmarkStart w:id="9" w:name="_Toc234222194"/>
      <w:r>
        <w:rPr>
          <w:b/>
          <w:bCs/>
          <w:color w:val="1F2430"/>
        </w:rPr>
        <w:t>3.4 Pretrained assets</w:t>
      </w:r>
      <w:bookmarkEnd w:id="9"/>
    </w:p>
    <w:p w14:paraId="17094030" w14:textId="77777777" w:rsidR="00E93F8C" w:rsidRDefault="00000000">
      <w:pPr>
        <w:spacing w:after="160" w:line="300" w:lineRule="auto"/>
      </w:pPr>
      <w:r>
        <w:t>The most substantial pretrained automotive offering sits in the companion physicsnemo-cfd repository, which publishes pretrained checkpoints for built-in benchmark models on Hugging Face under the nvidia organization, evaluated against the DrivAerML external aerodynamics dataset. These are external-flow aerodynamic surrogates rather than powertrain models, but they demonstrate the intended deployment pattern: trained checkpoints, a benchmarking harness with registered metrics, and hybrid initialization of conventional CFD solves from machine-learned predictions. Additional pretrained models are distributed through the NVIDIA NGC catalog.</w:t>
      </w:r>
    </w:p>
    <w:p w14:paraId="58F02ECD" w14:textId="77777777" w:rsidR="00E93F8C" w:rsidRDefault="00000000">
      <w:pPr>
        <w:pStyle w:val="Heading1"/>
        <w:spacing w:before="360" w:after="200"/>
      </w:pPr>
      <w:bookmarkStart w:id="10" w:name="_Toc234222195"/>
      <w:r>
        <w:rPr>
          <w:b/>
          <w:bCs/>
          <w:color w:val="8A3B12"/>
        </w:rPr>
        <w:t>4. Subsystem-Level Repositories</w:t>
      </w:r>
      <w:bookmarkEnd w:id="10"/>
    </w:p>
    <w:p w14:paraId="1140659D" w14:textId="77777777" w:rsidR="00E93F8C" w:rsidRDefault="00000000">
      <w:pPr>
        <w:pStyle w:val="Heading2"/>
        <w:spacing w:before="280" w:after="160"/>
      </w:pPr>
      <w:bookmarkStart w:id="11" w:name="_Toc234222196"/>
      <w:r>
        <w:rPr>
          <w:b/>
          <w:bCs/>
          <w:color w:val="1F2430"/>
        </w:rPr>
        <w:t>4.1 Battery: PINN4SOH</w:t>
      </w:r>
      <w:bookmarkEnd w:id="11"/>
    </w:p>
    <w:p w14:paraId="6E86E42A" w14:textId="77777777" w:rsidR="00E93F8C" w:rsidRDefault="00000000">
      <w:pPr>
        <w:spacing w:after="160" w:line="300" w:lineRule="auto"/>
      </w:pPr>
      <w:r>
        <w:t>PINN4SOH, published by Wang and colleagues alongside a 2024 Nature Communications paper, is the strongest open battery prognostics codebase in the physics-informed family. The method models battery degradation attributes through empirical degradation relations and state-space equations, with neural networks capturing the degradation dynamics. A general feature extraction scheme draws statistical features from a short window of data before full charge, which makes the method applicable across battery chemistries and charge protocols.</w:t>
      </w:r>
    </w:p>
    <w:p w14:paraId="47EC1EEF" w14:textId="77777777" w:rsidR="00E93F8C" w:rsidRDefault="00000000">
      <w:pPr>
        <w:spacing w:after="160" w:line="300" w:lineRule="auto"/>
      </w:pPr>
      <w:r>
        <w:t>Validation scale is a distinguishing strength: the authors generated a dataset of 55 nickel-cobalt-manganese cells and combined it with three additional manufacturer datasets for a total of 387 batteries and 310,705 samples, achieving a mean absolute percentage error of 0.87 percent. The published experiments include small-sample regimes and cross-dataset transfer with fine-tuning, both directly relevant to fleet health monitoring where per-vehicle data are limited. The repository is plain PyTorch with a runnable demo on the XJTU dataset and baseline CNN and MLP comparison models.</w:t>
      </w:r>
    </w:p>
    <w:p w14:paraId="486BA472" w14:textId="77777777" w:rsidR="00E93F8C" w:rsidRDefault="00000000">
      <w:pPr>
        <w:pStyle w:val="Heading2"/>
        <w:spacing w:before="280" w:after="160"/>
      </w:pPr>
      <w:bookmarkStart w:id="12" w:name="_Toc234222197"/>
      <w:r>
        <w:rPr>
          <w:b/>
          <w:bCs/>
          <w:color w:val="1F2430"/>
        </w:rPr>
        <w:t>4.2 Electric machine: Thermal Neural Network</w:t>
      </w:r>
      <w:bookmarkEnd w:id="12"/>
    </w:p>
    <w:p w14:paraId="64907949" w14:textId="77777777" w:rsidR="00E93F8C" w:rsidRDefault="00000000">
      <w:pPr>
        <w:spacing w:after="160" w:line="300" w:lineRule="auto"/>
      </w:pPr>
      <w:r>
        <w:t xml:space="preserve">The Thermal Neural Network of Kirchgässner, Wallscheid, and Böcker addresses real-time temperature estimation in electric power systems where critical temperatures cannot be </w:t>
      </w:r>
      <w:r>
        <w:lastRenderedPageBreak/>
        <w:t>economically measured with sensors. Its inner cell implements a lumped-parameter thermal network, the electrically equivalent circuit whose parameters carry direct thermal interpretation. The neural network acts as a hypernetwork that parameterizes this circuit, which is then iteratively solved for the temperature prediction; measured component temperatures enter only through the cost function, with backpropagation through time handling the rest. In effect the TNN resolves the nonlinearity and scheduling-vector dependency of the quasi-linear parameter-varying system that a lumped thermal network represents.</w:t>
      </w:r>
    </w:p>
    <w:p w14:paraId="1589D77D" w14:textId="77777777" w:rsidR="00E93F8C" w:rsidRDefault="00000000">
      <w:pPr>
        <w:spacing w:after="160" w:line="300" w:lineRule="auto"/>
      </w:pPr>
      <w:r>
        <w:t>The reference implementation is the thermal-nn repository, demonstrated on a permanent magnet synchronous machine, and the companion deep-pmsm repository provides the earlier deep residual recurrent and convolutional estimators from the same group. The associated electric motor temperature dataset, collected at Paderborn University, is publicly available and has become the de facto benchmark for machine-learning motor temperature estimation.</w:t>
      </w:r>
    </w:p>
    <w:p w14:paraId="641C9473" w14:textId="77777777" w:rsidR="00E93F8C" w:rsidRDefault="00000000">
      <w:pPr>
        <w:pStyle w:val="Heading2"/>
        <w:spacing w:before="280" w:after="160"/>
      </w:pPr>
      <w:bookmarkStart w:id="13" w:name="_Toc234222198"/>
      <w:r>
        <w:rPr>
          <w:b/>
          <w:bCs/>
          <w:color w:val="1F2430"/>
        </w:rPr>
        <w:t>4.3 Power electronics and grid interface</w:t>
      </w:r>
      <w:bookmarkEnd w:id="13"/>
    </w:p>
    <w:p w14:paraId="3777E8E7" w14:textId="77777777" w:rsidR="00E93F8C" w:rsidRDefault="00000000">
      <w:pPr>
        <w:spacing w:after="160" w:line="300" w:lineRule="auto"/>
      </w:pPr>
      <w:r>
        <w:t>For the inverter and grid-facing side, the reference open codebase is the Physics-Informed Neural Networks for Power Systems repository by Misyris, Venzke, and Chatzivasileiadis, which applies the physics-informed loss to the swing equation and determines rotor angle and frequency up to 87 times faster than conventional numerical methods, while also supporting identification of system inertia and damping from measurements. Although formulated for grid dynamics, the swing-equation treatment is the closest published template for physics-informed modeling of electromechanical dynamics in drive systems. Recent literature also surveys physics-informed approaches to grid-connected inverters and fault detection in inverter-driven permanent magnet machine systems, though these publications generally do not ship reusable code.</w:t>
      </w:r>
    </w:p>
    <w:p w14:paraId="0E2EB9B1" w14:textId="77777777" w:rsidR="00E93F8C" w:rsidRDefault="00000000">
      <w:pPr>
        <w:pStyle w:val="Heading2"/>
        <w:spacing w:before="280" w:after="160"/>
      </w:pPr>
      <w:bookmarkStart w:id="14" w:name="_Toc234222199"/>
      <w:r>
        <w:rPr>
          <w:b/>
          <w:bCs/>
          <w:color w:val="1F2430"/>
        </w:rPr>
        <w:t>4.4 Physics-based complements</w:t>
      </w:r>
      <w:bookmarkEnd w:id="14"/>
    </w:p>
    <w:p w14:paraId="319671A0" w14:textId="77777777" w:rsidR="00E93F8C" w:rsidRDefault="00000000">
      <w:pPr>
        <w:spacing w:after="160" w:line="300" w:lineRule="auto"/>
      </w:pPr>
      <w:r>
        <w:t>Two non-PINN resources round out the toolkit. PyBaMM, the Python Battery Mathematical Modelling package, implements the Doyle-Fuller-Newman and single-particle electrochemical models and serves as an ideal generator of physics residuals and synthetic training data for custom battery PINNs. On the motor side, the Paderborn group's broader repositories cover machine simulation and control, providing plant models against which learned estimators can be validated.</w:t>
      </w:r>
    </w:p>
    <w:p w14:paraId="7391D50C" w14:textId="77777777" w:rsidR="00E93F8C" w:rsidRDefault="00000000">
      <w:pPr>
        <w:pStyle w:val="Heading1"/>
        <w:spacing w:before="360" w:after="200"/>
      </w:pPr>
      <w:bookmarkStart w:id="15" w:name="_Toc234222200"/>
      <w:r>
        <w:rPr>
          <w:b/>
          <w:bCs/>
          <w:color w:val="8A3B12"/>
        </w:rPr>
        <w:t>5. Comparative Assessment</w:t>
      </w:r>
      <w:bookmarkEnd w:id="15"/>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400"/>
        <w:gridCol w:w="2100"/>
        <w:gridCol w:w="1750"/>
        <w:gridCol w:w="1600"/>
        <w:gridCol w:w="1510"/>
      </w:tblGrid>
      <w:tr w:rsidR="00E93F8C" w14:paraId="217819F7" w14:textId="77777777">
        <w:tblPrEx>
          <w:tblCellMar>
            <w:top w:w="0" w:type="dxa"/>
            <w:bottom w:w="0" w:type="dxa"/>
          </w:tblCellMar>
        </w:tblPrEx>
        <w:tc>
          <w:tcPr>
            <w:tcW w:w="2400" w:type="dxa"/>
            <w:shd w:val="clear" w:color="auto" w:fill="F3EBDD"/>
            <w:tcMar>
              <w:top w:w="80" w:type="dxa"/>
              <w:left w:w="120" w:type="dxa"/>
              <w:bottom w:w="80" w:type="dxa"/>
              <w:right w:w="120" w:type="dxa"/>
            </w:tcMar>
          </w:tcPr>
          <w:p w14:paraId="3CA729F7" w14:textId="77777777" w:rsidR="00E93F8C" w:rsidRDefault="00000000">
            <w:pPr>
              <w:spacing w:line="260" w:lineRule="auto"/>
            </w:pPr>
            <w:r>
              <w:rPr>
                <w:b/>
                <w:bCs/>
                <w:sz w:val="19"/>
                <w:szCs w:val="19"/>
              </w:rPr>
              <w:t>Repository</w:t>
            </w:r>
          </w:p>
        </w:tc>
        <w:tc>
          <w:tcPr>
            <w:tcW w:w="2100" w:type="dxa"/>
            <w:shd w:val="clear" w:color="auto" w:fill="F3EBDD"/>
            <w:tcMar>
              <w:top w:w="80" w:type="dxa"/>
              <w:left w:w="120" w:type="dxa"/>
              <w:bottom w:w="80" w:type="dxa"/>
              <w:right w:w="120" w:type="dxa"/>
            </w:tcMar>
          </w:tcPr>
          <w:p w14:paraId="7401C544" w14:textId="77777777" w:rsidR="00E93F8C" w:rsidRDefault="00000000">
            <w:pPr>
              <w:spacing w:line="260" w:lineRule="auto"/>
            </w:pPr>
            <w:r>
              <w:rPr>
                <w:b/>
                <w:bCs/>
                <w:sz w:val="19"/>
                <w:szCs w:val="19"/>
              </w:rPr>
              <w:t>Domain</w:t>
            </w:r>
          </w:p>
        </w:tc>
        <w:tc>
          <w:tcPr>
            <w:tcW w:w="1750" w:type="dxa"/>
            <w:shd w:val="clear" w:color="auto" w:fill="F3EBDD"/>
            <w:tcMar>
              <w:top w:w="80" w:type="dxa"/>
              <w:left w:w="120" w:type="dxa"/>
              <w:bottom w:w="80" w:type="dxa"/>
              <w:right w:w="120" w:type="dxa"/>
            </w:tcMar>
          </w:tcPr>
          <w:p w14:paraId="02F9A80F" w14:textId="77777777" w:rsidR="00E93F8C" w:rsidRDefault="00000000">
            <w:pPr>
              <w:spacing w:line="260" w:lineRule="auto"/>
            </w:pPr>
            <w:r>
              <w:rPr>
                <w:b/>
                <w:bCs/>
                <w:sz w:val="19"/>
                <w:szCs w:val="19"/>
              </w:rPr>
              <w:t>Physics approach</w:t>
            </w:r>
          </w:p>
        </w:tc>
        <w:tc>
          <w:tcPr>
            <w:tcW w:w="1600" w:type="dxa"/>
            <w:shd w:val="clear" w:color="auto" w:fill="F3EBDD"/>
            <w:tcMar>
              <w:top w:w="80" w:type="dxa"/>
              <w:left w:w="120" w:type="dxa"/>
              <w:bottom w:w="80" w:type="dxa"/>
              <w:right w:w="120" w:type="dxa"/>
            </w:tcMar>
          </w:tcPr>
          <w:p w14:paraId="3EB0FFB9" w14:textId="77777777" w:rsidR="00E93F8C" w:rsidRDefault="00000000">
            <w:pPr>
              <w:spacing w:line="260" w:lineRule="auto"/>
            </w:pPr>
            <w:r>
              <w:rPr>
                <w:b/>
                <w:bCs/>
                <w:sz w:val="19"/>
                <w:szCs w:val="19"/>
              </w:rPr>
              <w:t>Pretrained weights</w:t>
            </w:r>
          </w:p>
        </w:tc>
        <w:tc>
          <w:tcPr>
            <w:tcW w:w="1510" w:type="dxa"/>
            <w:shd w:val="clear" w:color="auto" w:fill="F3EBDD"/>
            <w:tcMar>
              <w:top w:w="80" w:type="dxa"/>
              <w:left w:w="120" w:type="dxa"/>
              <w:bottom w:w="80" w:type="dxa"/>
              <w:right w:w="120" w:type="dxa"/>
            </w:tcMar>
          </w:tcPr>
          <w:p w14:paraId="274F1F7F" w14:textId="77777777" w:rsidR="00E93F8C" w:rsidRDefault="00000000">
            <w:pPr>
              <w:spacing w:line="260" w:lineRule="auto"/>
            </w:pPr>
            <w:r>
              <w:rPr>
                <w:b/>
                <w:bCs/>
                <w:sz w:val="19"/>
                <w:szCs w:val="19"/>
              </w:rPr>
              <w:t>Framework</w:t>
            </w:r>
          </w:p>
        </w:tc>
      </w:tr>
      <w:tr w:rsidR="00E93F8C" w14:paraId="3DD7D7D8" w14:textId="77777777">
        <w:tblPrEx>
          <w:tblCellMar>
            <w:top w:w="0" w:type="dxa"/>
            <w:bottom w:w="0" w:type="dxa"/>
          </w:tblCellMar>
        </w:tblPrEx>
        <w:tc>
          <w:tcPr>
            <w:tcW w:w="2400" w:type="dxa"/>
            <w:tcMar>
              <w:top w:w="80" w:type="dxa"/>
              <w:left w:w="120" w:type="dxa"/>
              <w:bottom w:w="80" w:type="dxa"/>
              <w:right w:w="120" w:type="dxa"/>
            </w:tcMar>
          </w:tcPr>
          <w:p w14:paraId="1788CF81" w14:textId="77777777" w:rsidR="00E93F8C" w:rsidRDefault="00000000">
            <w:pPr>
              <w:spacing w:line="260" w:lineRule="auto"/>
            </w:pPr>
            <w:r>
              <w:rPr>
                <w:sz w:val="19"/>
                <w:szCs w:val="19"/>
              </w:rPr>
              <w:t>NVIDIA/physicsnemo</w:t>
            </w:r>
          </w:p>
        </w:tc>
        <w:tc>
          <w:tcPr>
            <w:tcW w:w="2100" w:type="dxa"/>
            <w:tcMar>
              <w:top w:w="80" w:type="dxa"/>
              <w:left w:w="120" w:type="dxa"/>
              <w:bottom w:w="80" w:type="dxa"/>
              <w:right w:w="120" w:type="dxa"/>
            </w:tcMar>
          </w:tcPr>
          <w:p w14:paraId="768D593B" w14:textId="77777777" w:rsidR="00E93F8C" w:rsidRDefault="00000000">
            <w:pPr>
              <w:spacing w:line="260" w:lineRule="auto"/>
            </w:pPr>
            <w:r>
              <w:rPr>
                <w:sz w:val="19"/>
                <w:szCs w:val="19"/>
              </w:rPr>
              <w:t>General physics-ML</w:t>
            </w:r>
          </w:p>
        </w:tc>
        <w:tc>
          <w:tcPr>
            <w:tcW w:w="1750" w:type="dxa"/>
            <w:tcMar>
              <w:top w:w="80" w:type="dxa"/>
              <w:left w:w="120" w:type="dxa"/>
              <w:bottom w:w="80" w:type="dxa"/>
              <w:right w:w="120" w:type="dxa"/>
            </w:tcMar>
          </w:tcPr>
          <w:p w14:paraId="27A536AE" w14:textId="77777777" w:rsidR="00E93F8C" w:rsidRDefault="00000000">
            <w:pPr>
              <w:spacing w:line="260" w:lineRule="auto"/>
            </w:pPr>
            <w:r>
              <w:rPr>
                <w:sz w:val="19"/>
                <w:szCs w:val="19"/>
              </w:rPr>
              <w:t>PINN, PINO, symbolic residuals</w:t>
            </w:r>
          </w:p>
        </w:tc>
        <w:tc>
          <w:tcPr>
            <w:tcW w:w="1600" w:type="dxa"/>
            <w:tcMar>
              <w:top w:w="80" w:type="dxa"/>
              <w:left w:w="120" w:type="dxa"/>
              <w:bottom w:w="80" w:type="dxa"/>
              <w:right w:w="120" w:type="dxa"/>
            </w:tcMar>
          </w:tcPr>
          <w:p w14:paraId="082F69A3" w14:textId="77777777" w:rsidR="00E93F8C" w:rsidRDefault="00000000">
            <w:pPr>
              <w:spacing w:line="260" w:lineRule="auto"/>
            </w:pPr>
            <w:r>
              <w:rPr>
                <w:sz w:val="19"/>
                <w:szCs w:val="19"/>
              </w:rPr>
              <w:t>Via NGC catalog</w:t>
            </w:r>
          </w:p>
        </w:tc>
        <w:tc>
          <w:tcPr>
            <w:tcW w:w="1510" w:type="dxa"/>
            <w:tcMar>
              <w:top w:w="80" w:type="dxa"/>
              <w:left w:w="120" w:type="dxa"/>
              <w:bottom w:w="80" w:type="dxa"/>
              <w:right w:w="120" w:type="dxa"/>
            </w:tcMar>
          </w:tcPr>
          <w:p w14:paraId="1DF43D14" w14:textId="77777777" w:rsidR="00E93F8C" w:rsidRDefault="00000000">
            <w:pPr>
              <w:spacing w:line="260" w:lineRule="auto"/>
            </w:pPr>
            <w:r>
              <w:rPr>
                <w:sz w:val="19"/>
                <w:szCs w:val="19"/>
              </w:rPr>
              <w:t>PyTorch</w:t>
            </w:r>
          </w:p>
        </w:tc>
      </w:tr>
      <w:tr w:rsidR="00E93F8C" w14:paraId="29F0D5C5" w14:textId="77777777">
        <w:tblPrEx>
          <w:tblCellMar>
            <w:top w:w="0" w:type="dxa"/>
            <w:bottom w:w="0" w:type="dxa"/>
          </w:tblCellMar>
        </w:tblPrEx>
        <w:tc>
          <w:tcPr>
            <w:tcW w:w="2400" w:type="dxa"/>
            <w:tcMar>
              <w:top w:w="80" w:type="dxa"/>
              <w:left w:w="120" w:type="dxa"/>
              <w:bottom w:w="80" w:type="dxa"/>
              <w:right w:w="120" w:type="dxa"/>
            </w:tcMar>
          </w:tcPr>
          <w:p w14:paraId="1C80606C" w14:textId="77777777" w:rsidR="00E93F8C" w:rsidRDefault="00000000">
            <w:pPr>
              <w:spacing w:line="260" w:lineRule="auto"/>
            </w:pPr>
            <w:r>
              <w:rPr>
                <w:sz w:val="19"/>
                <w:szCs w:val="19"/>
              </w:rPr>
              <w:lastRenderedPageBreak/>
              <w:t>NVIDIA/physicsnemo-cfd</w:t>
            </w:r>
          </w:p>
        </w:tc>
        <w:tc>
          <w:tcPr>
            <w:tcW w:w="2100" w:type="dxa"/>
            <w:tcMar>
              <w:top w:w="80" w:type="dxa"/>
              <w:left w:w="120" w:type="dxa"/>
              <w:bottom w:w="80" w:type="dxa"/>
              <w:right w:w="120" w:type="dxa"/>
            </w:tcMar>
          </w:tcPr>
          <w:p w14:paraId="03FFD8BE" w14:textId="77777777" w:rsidR="00E93F8C" w:rsidRDefault="00000000">
            <w:pPr>
              <w:spacing w:line="260" w:lineRule="auto"/>
            </w:pPr>
            <w:r>
              <w:rPr>
                <w:sz w:val="19"/>
                <w:szCs w:val="19"/>
              </w:rPr>
              <w:t>Automotive aero, CFD</w:t>
            </w:r>
          </w:p>
        </w:tc>
        <w:tc>
          <w:tcPr>
            <w:tcW w:w="1750" w:type="dxa"/>
            <w:tcMar>
              <w:top w:w="80" w:type="dxa"/>
              <w:left w:w="120" w:type="dxa"/>
              <w:bottom w:w="80" w:type="dxa"/>
              <w:right w:w="120" w:type="dxa"/>
            </w:tcMar>
          </w:tcPr>
          <w:p w14:paraId="092AABC5" w14:textId="77777777" w:rsidR="00E93F8C" w:rsidRDefault="00000000">
            <w:pPr>
              <w:spacing w:line="260" w:lineRule="auto"/>
            </w:pPr>
            <w:r>
              <w:rPr>
                <w:sz w:val="19"/>
                <w:szCs w:val="19"/>
              </w:rPr>
              <w:t>Data-driven operators</w:t>
            </w:r>
          </w:p>
        </w:tc>
        <w:tc>
          <w:tcPr>
            <w:tcW w:w="1600" w:type="dxa"/>
            <w:tcMar>
              <w:top w:w="80" w:type="dxa"/>
              <w:left w:w="120" w:type="dxa"/>
              <w:bottom w:w="80" w:type="dxa"/>
              <w:right w:w="120" w:type="dxa"/>
            </w:tcMar>
          </w:tcPr>
          <w:p w14:paraId="450C67A1" w14:textId="77777777" w:rsidR="00E93F8C" w:rsidRDefault="00000000">
            <w:pPr>
              <w:spacing w:line="260" w:lineRule="auto"/>
            </w:pPr>
            <w:r>
              <w:rPr>
                <w:sz w:val="19"/>
                <w:szCs w:val="19"/>
              </w:rPr>
              <w:t>Yes (Hugging Face)</w:t>
            </w:r>
          </w:p>
        </w:tc>
        <w:tc>
          <w:tcPr>
            <w:tcW w:w="1510" w:type="dxa"/>
            <w:tcMar>
              <w:top w:w="80" w:type="dxa"/>
              <w:left w:w="120" w:type="dxa"/>
              <w:bottom w:w="80" w:type="dxa"/>
              <w:right w:w="120" w:type="dxa"/>
            </w:tcMar>
          </w:tcPr>
          <w:p w14:paraId="07F054C6" w14:textId="77777777" w:rsidR="00E93F8C" w:rsidRDefault="00000000">
            <w:pPr>
              <w:spacing w:line="260" w:lineRule="auto"/>
            </w:pPr>
            <w:r>
              <w:rPr>
                <w:sz w:val="19"/>
                <w:szCs w:val="19"/>
              </w:rPr>
              <w:t>PyTorch</w:t>
            </w:r>
          </w:p>
        </w:tc>
      </w:tr>
      <w:tr w:rsidR="00E93F8C" w14:paraId="0165214B" w14:textId="77777777">
        <w:tblPrEx>
          <w:tblCellMar>
            <w:top w:w="0" w:type="dxa"/>
            <w:bottom w:w="0" w:type="dxa"/>
          </w:tblCellMar>
        </w:tblPrEx>
        <w:tc>
          <w:tcPr>
            <w:tcW w:w="2400" w:type="dxa"/>
            <w:tcMar>
              <w:top w:w="80" w:type="dxa"/>
              <w:left w:w="120" w:type="dxa"/>
              <w:bottom w:w="80" w:type="dxa"/>
              <w:right w:w="120" w:type="dxa"/>
            </w:tcMar>
          </w:tcPr>
          <w:p w14:paraId="1745B5FE" w14:textId="77777777" w:rsidR="00E93F8C" w:rsidRDefault="00000000">
            <w:pPr>
              <w:spacing w:line="260" w:lineRule="auto"/>
            </w:pPr>
            <w:r>
              <w:rPr>
                <w:sz w:val="19"/>
                <w:szCs w:val="19"/>
              </w:rPr>
              <w:t>wang-fujin/PINN4SOH</w:t>
            </w:r>
          </w:p>
        </w:tc>
        <w:tc>
          <w:tcPr>
            <w:tcW w:w="2100" w:type="dxa"/>
            <w:tcMar>
              <w:top w:w="80" w:type="dxa"/>
              <w:left w:w="120" w:type="dxa"/>
              <w:bottom w:w="80" w:type="dxa"/>
              <w:right w:w="120" w:type="dxa"/>
            </w:tcMar>
          </w:tcPr>
          <w:p w14:paraId="6863996D" w14:textId="77777777" w:rsidR="00E93F8C" w:rsidRDefault="00000000">
            <w:pPr>
              <w:spacing w:line="260" w:lineRule="auto"/>
            </w:pPr>
            <w:r>
              <w:rPr>
                <w:sz w:val="19"/>
                <w:szCs w:val="19"/>
              </w:rPr>
              <w:t>Battery SOH prognosis</w:t>
            </w:r>
          </w:p>
        </w:tc>
        <w:tc>
          <w:tcPr>
            <w:tcW w:w="1750" w:type="dxa"/>
            <w:tcMar>
              <w:top w:w="80" w:type="dxa"/>
              <w:left w:w="120" w:type="dxa"/>
              <w:bottom w:w="80" w:type="dxa"/>
              <w:right w:w="120" w:type="dxa"/>
            </w:tcMar>
          </w:tcPr>
          <w:p w14:paraId="5001E7BA" w14:textId="77777777" w:rsidR="00E93F8C" w:rsidRDefault="00000000">
            <w:pPr>
              <w:spacing w:line="260" w:lineRule="auto"/>
            </w:pPr>
            <w:r>
              <w:rPr>
                <w:sz w:val="19"/>
                <w:szCs w:val="19"/>
              </w:rPr>
              <w:t>Physics-informed loss</w:t>
            </w:r>
          </w:p>
        </w:tc>
        <w:tc>
          <w:tcPr>
            <w:tcW w:w="1600" w:type="dxa"/>
            <w:tcMar>
              <w:top w:w="80" w:type="dxa"/>
              <w:left w:w="120" w:type="dxa"/>
              <w:bottom w:w="80" w:type="dxa"/>
              <w:right w:w="120" w:type="dxa"/>
            </w:tcMar>
          </w:tcPr>
          <w:p w14:paraId="7423B172" w14:textId="77777777" w:rsidR="00E93F8C" w:rsidRDefault="00000000">
            <w:pPr>
              <w:spacing w:line="260" w:lineRule="auto"/>
            </w:pPr>
            <w:r>
              <w:rPr>
                <w:sz w:val="19"/>
                <w:szCs w:val="19"/>
              </w:rPr>
              <w:t>No (fast retrain)</w:t>
            </w:r>
          </w:p>
        </w:tc>
        <w:tc>
          <w:tcPr>
            <w:tcW w:w="1510" w:type="dxa"/>
            <w:tcMar>
              <w:top w:w="80" w:type="dxa"/>
              <w:left w:w="120" w:type="dxa"/>
              <w:bottom w:w="80" w:type="dxa"/>
              <w:right w:w="120" w:type="dxa"/>
            </w:tcMar>
          </w:tcPr>
          <w:p w14:paraId="185B4B51" w14:textId="77777777" w:rsidR="00E93F8C" w:rsidRDefault="00000000">
            <w:pPr>
              <w:spacing w:line="260" w:lineRule="auto"/>
            </w:pPr>
            <w:r>
              <w:rPr>
                <w:sz w:val="19"/>
                <w:szCs w:val="19"/>
              </w:rPr>
              <w:t>PyTorch</w:t>
            </w:r>
          </w:p>
        </w:tc>
      </w:tr>
      <w:tr w:rsidR="00E93F8C" w14:paraId="7CF1D575" w14:textId="77777777">
        <w:tblPrEx>
          <w:tblCellMar>
            <w:top w:w="0" w:type="dxa"/>
            <w:bottom w:w="0" w:type="dxa"/>
          </w:tblCellMar>
        </w:tblPrEx>
        <w:tc>
          <w:tcPr>
            <w:tcW w:w="2400" w:type="dxa"/>
            <w:tcMar>
              <w:top w:w="80" w:type="dxa"/>
              <w:left w:w="120" w:type="dxa"/>
              <w:bottom w:w="80" w:type="dxa"/>
              <w:right w:w="120" w:type="dxa"/>
            </w:tcMar>
          </w:tcPr>
          <w:p w14:paraId="1FBAFCEF" w14:textId="77777777" w:rsidR="00E93F8C" w:rsidRDefault="00000000">
            <w:pPr>
              <w:spacing w:line="260" w:lineRule="auto"/>
            </w:pPr>
            <w:r>
              <w:rPr>
                <w:sz w:val="19"/>
                <w:szCs w:val="19"/>
              </w:rPr>
              <w:t>wkirgsn/thermal-nn</w:t>
            </w:r>
          </w:p>
        </w:tc>
        <w:tc>
          <w:tcPr>
            <w:tcW w:w="2100" w:type="dxa"/>
            <w:tcMar>
              <w:top w:w="80" w:type="dxa"/>
              <w:left w:w="120" w:type="dxa"/>
              <w:bottom w:w="80" w:type="dxa"/>
              <w:right w:w="120" w:type="dxa"/>
            </w:tcMar>
          </w:tcPr>
          <w:p w14:paraId="638629A0" w14:textId="77777777" w:rsidR="00E93F8C" w:rsidRDefault="00000000">
            <w:pPr>
              <w:spacing w:line="260" w:lineRule="auto"/>
            </w:pPr>
            <w:r>
              <w:rPr>
                <w:sz w:val="19"/>
                <w:szCs w:val="19"/>
              </w:rPr>
              <w:t>PMSM temperature</w:t>
            </w:r>
          </w:p>
        </w:tc>
        <w:tc>
          <w:tcPr>
            <w:tcW w:w="1750" w:type="dxa"/>
            <w:tcMar>
              <w:top w:w="80" w:type="dxa"/>
              <w:left w:w="120" w:type="dxa"/>
              <w:bottom w:w="80" w:type="dxa"/>
              <w:right w:w="120" w:type="dxa"/>
            </w:tcMar>
          </w:tcPr>
          <w:p w14:paraId="2CF7CB6F" w14:textId="77777777" w:rsidR="00E93F8C" w:rsidRDefault="00000000">
            <w:pPr>
              <w:spacing w:line="260" w:lineRule="auto"/>
            </w:pPr>
            <w:r>
              <w:rPr>
                <w:sz w:val="19"/>
                <w:szCs w:val="19"/>
              </w:rPr>
              <w:t>Structural (LPTN hypernetwork)</w:t>
            </w:r>
          </w:p>
        </w:tc>
        <w:tc>
          <w:tcPr>
            <w:tcW w:w="1600" w:type="dxa"/>
            <w:tcMar>
              <w:top w:w="80" w:type="dxa"/>
              <w:left w:w="120" w:type="dxa"/>
              <w:bottom w:w="80" w:type="dxa"/>
              <w:right w:w="120" w:type="dxa"/>
            </w:tcMar>
          </w:tcPr>
          <w:p w14:paraId="39443D7D" w14:textId="77777777" w:rsidR="00E93F8C" w:rsidRDefault="00000000">
            <w:pPr>
              <w:spacing w:line="260" w:lineRule="auto"/>
            </w:pPr>
            <w:r>
              <w:rPr>
                <w:sz w:val="19"/>
                <w:szCs w:val="19"/>
              </w:rPr>
              <w:t>No (fast retrain)</w:t>
            </w:r>
          </w:p>
        </w:tc>
        <w:tc>
          <w:tcPr>
            <w:tcW w:w="1510" w:type="dxa"/>
            <w:tcMar>
              <w:top w:w="80" w:type="dxa"/>
              <w:left w:w="120" w:type="dxa"/>
              <w:bottom w:w="80" w:type="dxa"/>
              <w:right w:w="120" w:type="dxa"/>
            </w:tcMar>
          </w:tcPr>
          <w:p w14:paraId="09F7A7ED" w14:textId="77777777" w:rsidR="00E93F8C" w:rsidRDefault="00000000">
            <w:pPr>
              <w:spacing w:line="260" w:lineRule="auto"/>
            </w:pPr>
            <w:r>
              <w:rPr>
                <w:sz w:val="19"/>
                <w:szCs w:val="19"/>
              </w:rPr>
              <w:t>PyTorch / Keras</w:t>
            </w:r>
          </w:p>
        </w:tc>
      </w:tr>
      <w:tr w:rsidR="00E93F8C" w14:paraId="255A14F1" w14:textId="77777777">
        <w:tblPrEx>
          <w:tblCellMar>
            <w:top w:w="0" w:type="dxa"/>
            <w:bottom w:w="0" w:type="dxa"/>
          </w:tblCellMar>
        </w:tblPrEx>
        <w:tc>
          <w:tcPr>
            <w:tcW w:w="2400" w:type="dxa"/>
            <w:tcMar>
              <w:top w:w="80" w:type="dxa"/>
              <w:left w:w="120" w:type="dxa"/>
              <w:bottom w:w="80" w:type="dxa"/>
              <w:right w:w="120" w:type="dxa"/>
            </w:tcMar>
          </w:tcPr>
          <w:p w14:paraId="6496E9B4" w14:textId="77777777" w:rsidR="00E93F8C" w:rsidRDefault="00000000">
            <w:pPr>
              <w:spacing w:line="260" w:lineRule="auto"/>
            </w:pPr>
            <w:r>
              <w:rPr>
                <w:sz w:val="19"/>
                <w:szCs w:val="19"/>
              </w:rPr>
              <w:t>upb-lea/deep-pmsm</w:t>
            </w:r>
          </w:p>
        </w:tc>
        <w:tc>
          <w:tcPr>
            <w:tcW w:w="2100" w:type="dxa"/>
            <w:tcMar>
              <w:top w:w="80" w:type="dxa"/>
              <w:left w:w="120" w:type="dxa"/>
              <w:bottom w:w="80" w:type="dxa"/>
              <w:right w:w="120" w:type="dxa"/>
            </w:tcMar>
          </w:tcPr>
          <w:p w14:paraId="0C909681" w14:textId="77777777" w:rsidR="00E93F8C" w:rsidRDefault="00000000">
            <w:pPr>
              <w:spacing w:line="260" w:lineRule="auto"/>
            </w:pPr>
            <w:r>
              <w:rPr>
                <w:sz w:val="19"/>
                <w:szCs w:val="19"/>
              </w:rPr>
              <w:t>PMSM temperature</w:t>
            </w:r>
          </w:p>
        </w:tc>
        <w:tc>
          <w:tcPr>
            <w:tcW w:w="1750" w:type="dxa"/>
            <w:tcMar>
              <w:top w:w="80" w:type="dxa"/>
              <w:left w:w="120" w:type="dxa"/>
              <w:bottom w:w="80" w:type="dxa"/>
              <w:right w:w="120" w:type="dxa"/>
            </w:tcMar>
          </w:tcPr>
          <w:p w14:paraId="21EA8CDC" w14:textId="77777777" w:rsidR="00E93F8C" w:rsidRDefault="00000000">
            <w:pPr>
              <w:spacing w:line="260" w:lineRule="auto"/>
            </w:pPr>
            <w:r>
              <w:rPr>
                <w:sz w:val="19"/>
                <w:szCs w:val="19"/>
              </w:rPr>
              <w:t>Data-driven deep residual</w:t>
            </w:r>
          </w:p>
        </w:tc>
        <w:tc>
          <w:tcPr>
            <w:tcW w:w="1600" w:type="dxa"/>
            <w:tcMar>
              <w:top w:w="80" w:type="dxa"/>
              <w:left w:w="120" w:type="dxa"/>
              <w:bottom w:w="80" w:type="dxa"/>
              <w:right w:w="120" w:type="dxa"/>
            </w:tcMar>
          </w:tcPr>
          <w:p w14:paraId="3E2A9E07" w14:textId="77777777" w:rsidR="00E93F8C" w:rsidRDefault="00000000">
            <w:pPr>
              <w:spacing w:line="260" w:lineRule="auto"/>
            </w:pPr>
            <w:r>
              <w:rPr>
                <w:sz w:val="19"/>
                <w:szCs w:val="19"/>
              </w:rPr>
              <w:t>No</w:t>
            </w:r>
          </w:p>
        </w:tc>
        <w:tc>
          <w:tcPr>
            <w:tcW w:w="1510" w:type="dxa"/>
            <w:tcMar>
              <w:top w:w="80" w:type="dxa"/>
              <w:left w:w="120" w:type="dxa"/>
              <w:bottom w:w="80" w:type="dxa"/>
              <w:right w:w="120" w:type="dxa"/>
            </w:tcMar>
          </w:tcPr>
          <w:p w14:paraId="03FD3EAD" w14:textId="77777777" w:rsidR="00E93F8C" w:rsidRDefault="00000000">
            <w:pPr>
              <w:spacing w:line="260" w:lineRule="auto"/>
            </w:pPr>
            <w:r>
              <w:rPr>
                <w:sz w:val="19"/>
                <w:szCs w:val="19"/>
              </w:rPr>
              <w:t>Python / Keras</w:t>
            </w:r>
          </w:p>
        </w:tc>
      </w:tr>
      <w:tr w:rsidR="00E93F8C" w14:paraId="1317F264" w14:textId="77777777">
        <w:tblPrEx>
          <w:tblCellMar>
            <w:top w:w="0" w:type="dxa"/>
            <w:bottom w:w="0" w:type="dxa"/>
          </w:tblCellMar>
        </w:tblPrEx>
        <w:tc>
          <w:tcPr>
            <w:tcW w:w="2400" w:type="dxa"/>
            <w:tcMar>
              <w:top w:w="80" w:type="dxa"/>
              <w:left w:w="120" w:type="dxa"/>
              <w:bottom w:w="80" w:type="dxa"/>
              <w:right w:w="120" w:type="dxa"/>
            </w:tcMar>
          </w:tcPr>
          <w:p w14:paraId="0BE22DD5" w14:textId="77777777" w:rsidR="00E93F8C" w:rsidRDefault="00000000">
            <w:pPr>
              <w:spacing w:line="260" w:lineRule="auto"/>
            </w:pPr>
            <w:r>
              <w:rPr>
                <w:sz w:val="19"/>
                <w:szCs w:val="19"/>
              </w:rPr>
              <w:t>gmisy/PINNs-for-Power-Systems</w:t>
            </w:r>
          </w:p>
        </w:tc>
        <w:tc>
          <w:tcPr>
            <w:tcW w:w="2100" w:type="dxa"/>
            <w:tcMar>
              <w:top w:w="80" w:type="dxa"/>
              <w:left w:w="120" w:type="dxa"/>
              <w:bottom w:w="80" w:type="dxa"/>
              <w:right w:w="120" w:type="dxa"/>
            </w:tcMar>
          </w:tcPr>
          <w:p w14:paraId="7F04F468" w14:textId="77777777" w:rsidR="00E93F8C" w:rsidRDefault="00000000">
            <w:pPr>
              <w:spacing w:line="260" w:lineRule="auto"/>
            </w:pPr>
            <w:r>
              <w:rPr>
                <w:sz w:val="19"/>
                <w:szCs w:val="19"/>
              </w:rPr>
              <w:t>Swing dynamics</w:t>
            </w:r>
          </w:p>
        </w:tc>
        <w:tc>
          <w:tcPr>
            <w:tcW w:w="1750" w:type="dxa"/>
            <w:tcMar>
              <w:top w:w="80" w:type="dxa"/>
              <w:left w:w="120" w:type="dxa"/>
              <w:bottom w:w="80" w:type="dxa"/>
              <w:right w:w="120" w:type="dxa"/>
            </w:tcMar>
          </w:tcPr>
          <w:p w14:paraId="7C21242D" w14:textId="77777777" w:rsidR="00E93F8C" w:rsidRDefault="00000000">
            <w:pPr>
              <w:spacing w:line="260" w:lineRule="auto"/>
            </w:pPr>
            <w:r>
              <w:rPr>
                <w:sz w:val="19"/>
                <w:szCs w:val="19"/>
              </w:rPr>
              <w:t>Physics-informed loss</w:t>
            </w:r>
          </w:p>
        </w:tc>
        <w:tc>
          <w:tcPr>
            <w:tcW w:w="1600" w:type="dxa"/>
            <w:tcMar>
              <w:top w:w="80" w:type="dxa"/>
              <w:left w:w="120" w:type="dxa"/>
              <w:bottom w:w="80" w:type="dxa"/>
              <w:right w:w="120" w:type="dxa"/>
            </w:tcMar>
          </w:tcPr>
          <w:p w14:paraId="1E75CFDB" w14:textId="77777777" w:rsidR="00E93F8C" w:rsidRDefault="00000000">
            <w:pPr>
              <w:spacing w:line="260" w:lineRule="auto"/>
            </w:pPr>
            <w:r>
              <w:rPr>
                <w:sz w:val="19"/>
                <w:szCs w:val="19"/>
              </w:rPr>
              <w:t>No</w:t>
            </w:r>
          </w:p>
        </w:tc>
        <w:tc>
          <w:tcPr>
            <w:tcW w:w="1510" w:type="dxa"/>
            <w:tcMar>
              <w:top w:w="80" w:type="dxa"/>
              <w:left w:w="120" w:type="dxa"/>
              <w:bottom w:w="80" w:type="dxa"/>
              <w:right w:w="120" w:type="dxa"/>
            </w:tcMar>
          </w:tcPr>
          <w:p w14:paraId="28B3C1A0" w14:textId="77777777" w:rsidR="00E93F8C" w:rsidRDefault="00000000">
            <w:pPr>
              <w:spacing w:line="260" w:lineRule="auto"/>
            </w:pPr>
            <w:r>
              <w:rPr>
                <w:sz w:val="19"/>
                <w:szCs w:val="19"/>
              </w:rPr>
              <w:t>TensorFlow</w:t>
            </w:r>
          </w:p>
        </w:tc>
      </w:tr>
      <w:tr w:rsidR="00E93F8C" w14:paraId="23CF834E" w14:textId="77777777">
        <w:tblPrEx>
          <w:tblCellMar>
            <w:top w:w="0" w:type="dxa"/>
            <w:bottom w:w="0" w:type="dxa"/>
          </w:tblCellMar>
        </w:tblPrEx>
        <w:tc>
          <w:tcPr>
            <w:tcW w:w="2400" w:type="dxa"/>
            <w:tcMar>
              <w:top w:w="80" w:type="dxa"/>
              <w:left w:w="120" w:type="dxa"/>
              <w:bottom w:w="80" w:type="dxa"/>
              <w:right w:w="120" w:type="dxa"/>
            </w:tcMar>
          </w:tcPr>
          <w:p w14:paraId="18BAA2F3" w14:textId="77777777" w:rsidR="00E93F8C" w:rsidRDefault="00000000">
            <w:pPr>
              <w:spacing w:line="260" w:lineRule="auto"/>
            </w:pPr>
            <w:r>
              <w:rPr>
                <w:sz w:val="19"/>
                <w:szCs w:val="19"/>
              </w:rPr>
              <w:t>PyBaMM</w:t>
            </w:r>
          </w:p>
        </w:tc>
        <w:tc>
          <w:tcPr>
            <w:tcW w:w="2100" w:type="dxa"/>
            <w:tcMar>
              <w:top w:w="80" w:type="dxa"/>
              <w:left w:w="120" w:type="dxa"/>
              <w:bottom w:w="80" w:type="dxa"/>
              <w:right w:w="120" w:type="dxa"/>
            </w:tcMar>
          </w:tcPr>
          <w:p w14:paraId="4B09F5BB" w14:textId="77777777" w:rsidR="00E93F8C" w:rsidRDefault="00000000">
            <w:pPr>
              <w:spacing w:line="260" w:lineRule="auto"/>
            </w:pPr>
            <w:r>
              <w:rPr>
                <w:sz w:val="19"/>
                <w:szCs w:val="19"/>
              </w:rPr>
              <w:t>Battery electrochemistry</w:t>
            </w:r>
          </w:p>
        </w:tc>
        <w:tc>
          <w:tcPr>
            <w:tcW w:w="1750" w:type="dxa"/>
            <w:tcMar>
              <w:top w:w="80" w:type="dxa"/>
              <w:left w:w="120" w:type="dxa"/>
              <w:bottom w:w="80" w:type="dxa"/>
              <w:right w:w="120" w:type="dxa"/>
            </w:tcMar>
          </w:tcPr>
          <w:p w14:paraId="5824DC47" w14:textId="77777777" w:rsidR="00E93F8C" w:rsidRDefault="00000000">
            <w:pPr>
              <w:spacing w:line="260" w:lineRule="auto"/>
            </w:pPr>
            <w:r>
              <w:rPr>
                <w:sz w:val="19"/>
                <w:szCs w:val="19"/>
              </w:rPr>
              <w:t>Full physics solver</w:t>
            </w:r>
          </w:p>
        </w:tc>
        <w:tc>
          <w:tcPr>
            <w:tcW w:w="1600" w:type="dxa"/>
            <w:tcMar>
              <w:top w:w="80" w:type="dxa"/>
              <w:left w:w="120" w:type="dxa"/>
              <w:bottom w:w="80" w:type="dxa"/>
              <w:right w:w="120" w:type="dxa"/>
            </w:tcMar>
          </w:tcPr>
          <w:p w14:paraId="1923655D" w14:textId="77777777" w:rsidR="00E93F8C" w:rsidRDefault="00000000">
            <w:pPr>
              <w:spacing w:line="260" w:lineRule="auto"/>
            </w:pPr>
            <w:r>
              <w:rPr>
                <w:sz w:val="19"/>
                <w:szCs w:val="19"/>
              </w:rPr>
              <w:t>Not applicable</w:t>
            </w:r>
          </w:p>
        </w:tc>
        <w:tc>
          <w:tcPr>
            <w:tcW w:w="1510" w:type="dxa"/>
            <w:tcMar>
              <w:top w:w="80" w:type="dxa"/>
              <w:left w:w="120" w:type="dxa"/>
              <w:bottom w:w="80" w:type="dxa"/>
              <w:right w:w="120" w:type="dxa"/>
            </w:tcMar>
          </w:tcPr>
          <w:p w14:paraId="7DF464E4" w14:textId="77777777" w:rsidR="00E93F8C" w:rsidRDefault="00000000">
            <w:pPr>
              <w:spacing w:line="260" w:lineRule="auto"/>
            </w:pPr>
            <w:r>
              <w:rPr>
                <w:sz w:val="19"/>
                <w:szCs w:val="19"/>
              </w:rPr>
              <w:t>Python</w:t>
            </w:r>
          </w:p>
        </w:tc>
      </w:tr>
    </w:tbl>
    <w:p w14:paraId="6AED0034" w14:textId="77777777" w:rsidR="00E93F8C" w:rsidRDefault="00E93F8C">
      <w:pPr>
        <w:spacing w:after="120" w:line="300" w:lineRule="auto"/>
      </w:pPr>
    </w:p>
    <w:p w14:paraId="212DC5ED" w14:textId="77777777" w:rsidR="00E93F8C" w:rsidRDefault="00000000">
      <w:pPr>
        <w:spacing w:after="160" w:line="300" w:lineRule="auto"/>
      </w:pPr>
      <w:r>
        <w:t>Three observations follow from the table. First, pretrained checkpoints are the exception rather than the rule; the norm in this field is code plus data plus a training recipe, and for the subsystem repositories the training cost is minutes on a workstation, so absence of weights is not a practical obstacle. Second, the subsystem repositories are standalone PyTorch or TensorFlow projects with no PhysicsNeMo dependency, which keeps prototyping friction low but means scaling infrastructure must come from a later port. Third, the two automotive-relevant physics philosophies, loss-penalized and structurally embedded, are each represented by a strong reference implementation, which makes a side-by-side evaluation on internal telemetry both feasible and scientifically interesting.</w:t>
      </w:r>
    </w:p>
    <w:p w14:paraId="740ED276" w14:textId="1FD2FB96" w:rsidR="00E93F8C" w:rsidRDefault="00000000">
      <w:pPr>
        <w:pStyle w:val="Heading1"/>
        <w:spacing w:before="360" w:after="200"/>
      </w:pPr>
      <w:bookmarkStart w:id="16" w:name="_Toc234222201"/>
      <w:r>
        <w:rPr>
          <w:b/>
          <w:bCs/>
          <w:color w:val="8A3B12"/>
        </w:rPr>
        <w:t>6. Relevanc</w:t>
      </w:r>
      <w:bookmarkEnd w:id="16"/>
      <w:r w:rsidR="00A948E7">
        <w:rPr>
          <w:b/>
          <w:bCs/>
          <w:color w:val="8A3B12"/>
        </w:rPr>
        <w:t>e</w:t>
      </w:r>
    </w:p>
    <w:p w14:paraId="77ACF000" w14:textId="77777777" w:rsidR="00E93F8C" w:rsidRDefault="00000000">
      <w:pPr>
        <w:spacing w:after="160" w:line="300" w:lineRule="auto"/>
      </w:pPr>
      <w:r>
        <w:t>For prognostics and health management, the surveyed repositories align with three concrete use cases. Battery state-of-health estimation is served immediately by PINN4SOH, whose short-window feature extraction matches the partial charge segments available from production telemetry, and whose transfer experiments mirror the fleet problem of adapting a model trained on one cell chemistry or duty cycle to another. Motor and inverter thermal monitoring is served by the Thermal Neural Network, whose interpretable thermal parameters double as health indicators: a drift in an identified thermal resistance is itself a diagnostic signature of degraded cooling or winding insulation. Finally, PhysicsNeMo's inverse-problem recipes point toward parameter identification as diagnosis, recovering physical coefficients from field observations and flagging deviations from nominal values.</w:t>
      </w:r>
    </w:p>
    <w:p w14:paraId="40802902" w14:textId="77777777" w:rsidR="00E93F8C" w:rsidRDefault="00000000">
      <w:pPr>
        <w:spacing w:after="160" w:line="300" w:lineRule="auto"/>
      </w:pPr>
      <w:r>
        <w:t>The framework layer matters for a second reason: residual generation. A physics-informed model trained on healthy-vehicle physics produces residuals when the vehicle departs from that physics, which connects this survey directly to residual-based fault detection practice. A structurally embedded model such as the TNN is particularly attractive here because its residuals are physically attributable by construction.</w:t>
      </w:r>
    </w:p>
    <w:p w14:paraId="0FB2190E" w14:textId="77777777" w:rsidR="00E93F8C" w:rsidRDefault="00000000">
      <w:pPr>
        <w:pStyle w:val="Heading1"/>
        <w:spacing w:before="360" w:after="200"/>
      </w:pPr>
      <w:bookmarkStart w:id="17" w:name="_Toc234222202"/>
      <w:r>
        <w:rPr>
          <w:b/>
          <w:bCs/>
          <w:color w:val="8A3B12"/>
        </w:rPr>
        <w:lastRenderedPageBreak/>
        <w:t>7. Recommended Prototyping Path</w:t>
      </w:r>
      <w:bookmarkEnd w:id="17"/>
    </w:p>
    <w:p w14:paraId="3E77F412" w14:textId="77777777" w:rsidR="00E93F8C" w:rsidRDefault="00000000">
      <w:pPr>
        <w:pStyle w:val="ListParagraph"/>
        <w:numPr>
          <w:ilvl w:val="0"/>
          <w:numId w:val="2"/>
        </w:numPr>
        <w:spacing w:after="100" w:line="290" w:lineRule="auto"/>
      </w:pPr>
      <w:r>
        <w:t>Stage one: reproduce PINN4SOH on the XJTU demo and the Thermal Neural Network on the Paderborn motor dataset, standalone, to validate environments and establish published baselines.</w:t>
      </w:r>
    </w:p>
    <w:p w14:paraId="1ADB230B" w14:textId="77777777" w:rsidR="00E93F8C" w:rsidRDefault="00000000">
      <w:pPr>
        <w:pStyle w:val="ListParagraph"/>
        <w:numPr>
          <w:ilvl w:val="0"/>
          <w:numId w:val="2"/>
        </w:numPr>
        <w:spacing w:after="100" w:line="290" w:lineRule="auto"/>
      </w:pPr>
      <w:r>
        <w:t>Stage two: adapt each model to a representative internal telemetry slice, holding architecture fixed and changing only the feature extraction and data loaders, to measure transfer behavior honestly.</w:t>
      </w:r>
    </w:p>
    <w:p w14:paraId="63DC21EE" w14:textId="77777777" w:rsidR="00E93F8C" w:rsidRDefault="00000000">
      <w:pPr>
        <w:pStyle w:val="ListParagraph"/>
        <w:numPr>
          <w:ilvl w:val="0"/>
          <w:numId w:val="2"/>
        </w:numPr>
        <w:spacing w:after="100" w:line="290" w:lineRule="auto"/>
      </w:pPr>
      <w:r>
        <w:t>Stage three: express the governing physics of each subsystem symbolically in physicsnemo.sym, reproducing the standalone results inside the framework as a correctness gate.</w:t>
      </w:r>
    </w:p>
    <w:p w14:paraId="0F0E8580" w14:textId="77777777" w:rsidR="00E93F8C" w:rsidRDefault="00000000">
      <w:pPr>
        <w:pStyle w:val="ListParagraph"/>
        <w:numPr>
          <w:ilvl w:val="0"/>
          <w:numId w:val="2"/>
        </w:numPr>
        <w:spacing w:after="100" w:line="290" w:lineRule="auto"/>
      </w:pPr>
      <w:r>
        <w:t>Stage four: exploit the framework, replacing pointwise networks with Fourier neural operators where parameter-sweep surrogates are wanted, and enabling the distributed training utilities for multi-GPU scaling.</w:t>
      </w:r>
    </w:p>
    <w:p w14:paraId="3B243167" w14:textId="77777777" w:rsidR="00E93F8C" w:rsidRDefault="00000000">
      <w:pPr>
        <w:pStyle w:val="ListParagraph"/>
        <w:numPr>
          <w:ilvl w:val="0"/>
          <w:numId w:val="2"/>
        </w:numPr>
        <w:spacing w:after="100" w:line="290" w:lineRule="auto"/>
      </w:pPr>
      <w:r>
        <w:t>Stage five: evaluate against the health-management endpoints, comparing loss-penalized and structural physics on accuracy, extrapolation, interpretability of identified parameters, and residual quality for fault detection.</w:t>
      </w:r>
    </w:p>
    <w:p w14:paraId="76881534" w14:textId="77777777" w:rsidR="00E93F8C" w:rsidRDefault="00000000">
      <w:pPr>
        <w:spacing w:after="160" w:line="300" w:lineRule="auto"/>
      </w:pPr>
      <w:r>
        <w:t>A detailed, agent-executable version of this plan, with milestones, file layout, acceptance criteria, and guardrails for an agentic coding workflow, is provided as a companion document.</w:t>
      </w:r>
    </w:p>
    <w:p w14:paraId="5DA27575" w14:textId="77777777" w:rsidR="00E93F8C" w:rsidRDefault="00000000">
      <w:pPr>
        <w:pStyle w:val="Heading1"/>
        <w:spacing w:before="360" w:after="200"/>
      </w:pPr>
      <w:bookmarkStart w:id="18" w:name="_Toc234222203"/>
      <w:r>
        <w:rPr>
          <w:b/>
          <w:bCs/>
          <w:color w:val="8A3B12"/>
        </w:rPr>
        <w:t>8. Risks and Caveats</w:t>
      </w:r>
      <w:bookmarkEnd w:id="18"/>
    </w:p>
    <w:p w14:paraId="3C80F63A" w14:textId="77777777" w:rsidR="00E93F8C" w:rsidRDefault="00000000">
      <w:pPr>
        <w:pStyle w:val="ListParagraph"/>
        <w:numPr>
          <w:ilvl w:val="0"/>
          <w:numId w:val="2"/>
        </w:numPr>
        <w:spacing w:after="100" w:line="290" w:lineRule="auto"/>
      </w:pPr>
      <w:r>
        <w:t>Framework churn: PhysicsNeMo evolved from the earlier Modulus project and its examples are versioned with explicit support levels; some are under active development and change rapidly, so pinning to tagged releases is advisable.</w:t>
      </w:r>
    </w:p>
    <w:p w14:paraId="3A72D80D" w14:textId="77777777" w:rsidR="00E93F8C" w:rsidRDefault="00000000">
      <w:pPr>
        <w:pStyle w:val="ListParagraph"/>
        <w:numPr>
          <w:ilvl w:val="0"/>
          <w:numId w:val="2"/>
        </w:numPr>
        <w:spacing w:after="100" w:line="290" w:lineRule="auto"/>
      </w:pPr>
      <w:r>
        <w:t>Optimization fragility: classical physics-informed training is known to struggle on stiff, multi-scale dynamics, exactly the regime of fast electrical transients coupled to slow thermal states; curriculum strategies and loss balancing should be planned, not improvised.</w:t>
      </w:r>
    </w:p>
    <w:p w14:paraId="62D7416A" w14:textId="77777777" w:rsidR="00E93F8C" w:rsidRDefault="00000000">
      <w:pPr>
        <w:pStyle w:val="ListParagraph"/>
        <w:numPr>
          <w:ilvl w:val="0"/>
          <w:numId w:val="2"/>
        </w:numPr>
        <w:spacing w:after="100" w:line="290" w:lineRule="auto"/>
      </w:pPr>
      <w:r>
        <w:t>License diligence: PhysicsNeMo is Apache 2.0, but each subsystem repository carries its own license and citation requirements that must be checked before any internal derivative work.</w:t>
      </w:r>
    </w:p>
    <w:p w14:paraId="76F55F6A" w14:textId="77777777" w:rsidR="00E93F8C" w:rsidRDefault="00000000">
      <w:pPr>
        <w:pStyle w:val="ListParagraph"/>
        <w:numPr>
          <w:ilvl w:val="0"/>
          <w:numId w:val="2"/>
        </w:numPr>
        <w:spacing w:after="100" w:line="290" w:lineRule="auto"/>
      </w:pPr>
      <w:r>
        <w:t>Dataset gap: published benchmarks use laboratory cycling and test-bench data; production telemetry has different sampling, noise, and coverage, so stage-two transfer results, not stage-one reproductions, are the meaningful evidence.</w:t>
      </w:r>
    </w:p>
    <w:p w14:paraId="3E5A5287" w14:textId="77777777" w:rsidR="00E93F8C" w:rsidRDefault="00000000">
      <w:pPr>
        <w:pStyle w:val="ListParagraph"/>
        <w:numPr>
          <w:ilvl w:val="0"/>
          <w:numId w:val="2"/>
        </w:numPr>
        <w:spacing w:after="100" w:line="290" w:lineRule="auto"/>
      </w:pPr>
      <w:r>
        <w:t>No full-vehicle model exists: system-level integration of subsystem surrogates remains open research, and coupling assumptions between subsystem models will need explicit engineering.</w:t>
      </w:r>
    </w:p>
    <w:p w14:paraId="2A1CE9F9" w14:textId="77777777" w:rsidR="00E93F8C" w:rsidRDefault="00000000">
      <w:pPr>
        <w:pStyle w:val="Heading1"/>
        <w:spacing w:before="360" w:after="200"/>
      </w:pPr>
      <w:bookmarkStart w:id="19" w:name="_Toc234222204"/>
      <w:r>
        <w:rPr>
          <w:b/>
          <w:bCs/>
          <w:color w:val="8A3B12"/>
        </w:rPr>
        <w:lastRenderedPageBreak/>
        <w:t>9. Key Sources</w:t>
      </w:r>
      <w:bookmarkEnd w:id="19"/>
    </w:p>
    <w:p w14:paraId="3248C2A2" w14:textId="77777777" w:rsidR="00E93F8C" w:rsidRDefault="00000000">
      <w:pPr>
        <w:pStyle w:val="ListParagraph"/>
        <w:numPr>
          <w:ilvl w:val="0"/>
          <w:numId w:val="2"/>
        </w:numPr>
        <w:spacing w:after="100" w:line="290" w:lineRule="auto"/>
      </w:pPr>
      <w:r>
        <w:t>NVIDIA PhysicsNeMo, github.com/NVIDIA/physicsnemo, and the PhysicsNeMo Examples Catalog, docs.nvidia.com/physicsnemo.</w:t>
      </w:r>
    </w:p>
    <w:p w14:paraId="2C5F9E24" w14:textId="77777777" w:rsidR="00E93F8C" w:rsidRDefault="00000000">
      <w:pPr>
        <w:pStyle w:val="ListParagraph"/>
        <w:numPr>
          <w:ilvl w:val="0"/>
          <w:numId w:val="2"/>
        </w:numPr>
        <w:spacing w:after="100" w:line="290" w:lineRule="auto"/>
      </w:pPr>
      <w:r>
        <w:t>NVIDIA PhysicsNeMo-CFD, github.com/NVIDIA/physicsnemo-cfd, with pretrained DrivAerML checkpoints on Hugging Face.</w:t>
      </w:r>
    </w:p>
    <w:p w14:paraId="6B428405" w14:textId="77777777" w:rsidR="00E93F8C" w:rsidRDefault="00000000">
      <w:pPr>
        <w:pStyle w:val="ListParagraph"/>
        <w:numPr>
          <w:ilvl w:val="0"/>
          <w:numId w:val="2"/>
        </w:numPr>
        <w:spacing w:after="100" w:line="290" w:lineRule="auto"/>
      </w:pPr>
      <w:r>
        <w:t>NVIDIA PhysicsNeMo-Sym, github.com/NVIDIA/physicsnemo-sym.</w:t>
      </w:r>
    </w:p>
    <w:p w14:paraId="71CFB5D0" w14:textId="77777777" w:rsidR="00E93F8C" w:rsidRDefault="00000000">
      <w:pPr>
        <w:pStyle w:val="ListParagraph"/>
        <w:numPr>
          <w:ilvl w:val="0"/>
          <w:numId w:val="2"/>
        </w:numPr>
        <w:spacing w:after="100" w:line="290" w:lineRule="auto"/>
      </w:pPr>
      <w:r>
        <w:t>Wang et al., Physics-informed neural network for lithium-ion battery degradation stable modeling and prognosis, Nature Communications, 2024; code at github.com/wang-fujin/PINN4SOH.</w:t>
      </w:r>
    </w:p>
    <w:p w14:paraId="487EF276" w14:textId="77777777" w:rsidR="00E93F8C" w:rsidRDefault="00000000">
      <w:pPr>
        <w:pStyle w:val="ListParagraph"/>
        <w:numPr>
          <w:ilvl w:val="0"/>
          <w:numId w:val="2"/>
        </w:numPr>
        <w:spacing w:after="100" w:line="290" w:lineRule="auto"/>
      </w:pPr>
      <w:r>
        <w:t>Kirchgässner, Wallscheid, Böcker, Thermal Neural Networks: Lumped-Parameter Thermal Modeling with State-Space Machine Learning; code at github.com/wkirgsn/thermal-nn and github.com/upb-lea/deep-pmsm.</w:t>
      </w:r>
    </w:p>
    <w:p w14:paraId="4928631F" w14:textId="77777777" w:rsidR="00E93F8C" w:rsidRDefault="00000000">
      <w:pPr>
        <w:pStyle w:val="ListParagraph"/>
        <w:numPr>
          <w:ilvl w:val="0"/>
          <w:numId w:val="2"/>
        </w:numPr>
        <w:spacing w:after="100" w:line="290" w:lineRule="auto"/>
      </w:pPr>
      <w:r>
        <w:t>Misyris, Venzke, Chatzivasileiadis, Physics-Informed Neural Networks for Power Systems; code at github.com/gmisy/Physics-Informed-Neural-Networks-for-Power-Systems.</w:t>
      </w:r>
    </w:p>
    <w:p w14:paraId="2D6F7654" w14:textId="77777777" w:rsidR="00E93F8C" w:rsidRDefault="00000000">
      <w:pPr>
        <w:pStyle w:val="ListParagraph"/>
        <w:numPr>
          <w:ilvl w:val="0"/>
          <w:numId w:val="2"/>
        </w:numPr>
        <w:spacing w:after="100" w:line="290" w:lineRule="auto"/>
      </w:pPr>
      <w:r>
        <w:t>PyBaMM, Python Battery Mathematical Modelling, pybamm.org.</w:t>
      </w:r>
    </w:p>
    <w:sectPr w:rsidR="00E93F8C">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CD290E" w14:textId="77777777" w:rsidR="00F96108" w:rsidRDefault="00F96108">
      <w:r>
        <w:separator/>
      </w:r>
    </w:p>
  </w:endnote>
  <w:endnote w:type="continuationSeparator" w:id="0">
    <w:p w14:paraId="3DDBA5A6" w14:textId="77777777" w:rsidR="00F96108" w:rsidRDefault="00F96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eorgia">
    <w:panose1 w:val="02040502050405020303"/>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7F2BD" w14:textId="77777777" w:rsidR="00E93F8C" w:rsidRDefault="00000000">
    <w:pPr>
      <w:jc w:val="center"/>
    </w:pPr>
    <w:r>
      <w:rPr>
        <w:color w:val="5A5F6E"/>
        <w:sz w:val="18"/>
        <w:szCs w:val="18"/>
      </w:rPr>
      <w:fldChar w:fldCharType="begin"/>
    </w:r>
    <w:r>
      <w:rPr>
        <w:color w:val="5A5F6E"/>
        <w:sz w:val="18"/>
        <w:szCs w:val="18"/>
      </w:rPr>
      <w:instrText>PAGE</w:instrText>
    </w:r>
    <w:r>
      <w:rPr>
        <w:color w:val="5A5F6E"/>
        <w:sz w:val="18"/>
        <w:szCs w:val="18"/>
      </w:rPr>
      <w:fldChar w:fldCharType="separate"/>
    </w:r>
    <w:r w:rsidR="00A948E7">
      <w:rPr>
        <w:noProof/>
        <w:color w:val="5A5F6E"/>
        <w:sz w:val="18"/>
        <w:szCs w:val="18"/>
      </w:rPr>
      <w:t>1</w:t>
    </w:r>
    <w:r>
      <w:rPr>
        <w:color w:val="5A5F6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EF4A6E" w14:textId="77777777" w:rsidR="00F96108" w:rsidRDefault="00F96108">
      <w:r>
        <w:separator/>
      </w:r>
    </w:p>
  </w:footnote>
  <w:footnote w:type="continuationSeparator" w:id="0">
    <w:p w14:paraId="19E0660D" w14:textId="77777777" w:rsidR="00F96108" w:rsidRDefault="00F961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862E0"/>
    <w:multiLevelType w:val="hybridMultilevel"/>
    <w:tmpl w:val="CF407D8C"/>
    <w:lvl w:ilvl="0" w:tplc="F50A15CA">
      <w:start w:val="1"/>
      <w:numFmt w:val="bullet"/>
      <w:lvlText w:val="•"/>
      <w:lvlJc w:val="left"/>
      <w:pPr>
        <w:ind w:left="480" w:hanging="240"/>
      </w:pPr>
    </w:lvl>
    <w:lvl w:ilvl="1" w:tplc="2B8863BC">
      <w:numFmt w:val="decimal"/>
      <w:lvlText w:val=""/>
      <w:lvlJc w:val="left"/>
    </w:lvl>
    <w:lvl w:ilvl="2" w:tplc="BF4EA24E">
      <w:numFmt w:val="decimal"/>
      <w:lvlText w:val=""/>
      <w:lvlJc w:val="left"/>
    </w:lvl>
    <w:lvl w:ilvl="3" w:tplc="320AF1CE">
      <w:numFmt w:val="decimal"/>
      <w:lvlText w:val=""/>
      <w:lvlJc w:val="left"/>
    </w:lvl>
    <w:lvl w:ilvl="4" w:tplc="EF4AA7D0">
      <w:numFmt w:val="decimal"/>
      <w:lvlText w:val=""/>
      <w:lvlJc w:val="left"/>
    </w:lvl>
    <w:lvl w:ilvl="5" w:tplc="4482AE62">
      <w:numFmt w:val="decimal"/>
      <w:lvlText w:val=""/>
      <w:lvlJc w:val="left"/>
    </w:lvl>
    <w:lvl w:ilvl="6" w:tplc="59720586">
      <w:numFmt w:val="decimal"/>
      <w:lvlText w:val=""/>
      <w:lvlJc w:val="left"/>
    </w:lvl>
    <w:lvl w:ilvl="7" w:tplc="59207A5A">
      <w:numFmt w:val="decimal"/>
      <w:lvlText w:val=""/>
      <w:lvlJc w:val="left"/>
    </w:lvl>
    <w:lvl w:ilvl="8" w:tplc="550E6876">
      <w:numFmt w:val="decimal"/>
      <w:lvlText w:val=""/>
      <w:lvlJc w:val="left"/>
    </w:lvl>
  </w:abstractNum>
  <w:abstractNum w:abstractNumId="1" w15:restartNumberingAfterBreak="0">
    <w:nsid w:val="71B4540D"/>
    <w:multiLevelType w:val="hybridMultilevel"/>
    <w:tmpl w:val="6526E6E6"/>
    <w:lvl w:ilvl="0" w:tplc="BC32855E">
      <w:start w:val="1"/>
      <w:numFmt w:val="bullet"/>
      <w:lvlText w:val="●"/>
      <w:lvlJc w:val="left"/>
      <w:pPr>
        <w:ind w:left="720" w:hanging="360"/>
      </w:pPr>
    </w:lvl>
    <w:lvl w:ilvl="1" w:tplc="C8D2AAD0">
      <w:start w:val="1"/>
      <w:numFmt w:val="bullet"/>
      <w:lvlText w:val="○"/>
      <w:lvlJc w:val="left"/>
      <w:pPr>
        <w:ind w:left="1440" w:hanging="360"/>
      </w:pPr>
    </w:lvl>
    <w:lvl w:ilvl="2" w:tplc="5A587A10">
      <w:start w:val="1"/>
      <w:numFmt w:val="bullet"/>
      <w:lvlText w:val="■"/>
      <w:lvlJc w:val="left"/>
      <w:pPr>
        <w:ind w:left="2160" w:hanging="360"/>
      </w:pPr>
    </w:lvl>
    <w:lvl w:ilvl="3" w:tplc="2AB01834">
      <w:start w:val="1"/>
      <w:numFmt w:val="bullet"/>
      <w:lvlText w:val="●"/>
      <w:lvlJc w:val="left"/>
      <w:pPr>
        <w:ind w:left="2880" w:hanging="360"/>
      </w:pPr>
    </w:lvl>
    <w:lvl w:ilvl="4" w:tplc="07C4592A">
      <w:start w:val="1"/>
      <w:numFmt w:val="bullet"/>
      <w:lvlText w:val="○"/>
      <w:lvlJc w:val="left"/>
      <w:pPr>
        <w:ind w:left="3600" w:hanging="360"/>
      </w:pPr>
    </w:lvl>
    <w:lvl w:ilvl="5" w:tplc="3618B308">
      <w:start w:val="1"/>
      <w:numFmt w:val="bullet"/>
      <w:lvlText w:val="■"/>
      <w:lvlJc w:val="left"/>
      <w:pPr>
        <w:ind w:left="4320" w:hanging="360"/>
      </w:pPr>
    </w:lvl>
    <w:lvl w:ilvl="6" w:tplc="E7D0B7E4">
      <w:start w:val="1"/>
      <w:numFmt w:val="bullet"/>
      <w:lvlText w:val="●"/>
      <w:lvlJc w:val="left"/>
      <w:pPr>
        <w:ind w:left="5040" w:hanging="360"/>
      </w:pPr>
    </w:lvl>
    <w:lvl w:ilvl="7" w:tplc="5D62081A">
      <w:start w:val="1"/>
      <w:numFmt w:val="bullet"/>
      <w:lvlText w:val="●"/>
      <w:lvlJc w:val="left"/>
      <w:pPr>
        <w:ind w:left="5760" w:hanging="360"/>
      </w:pPr>
    </w:lvl>
    <w:lvl w:ilvl="8" w:tplc="0BF064A6">
      <w:start w:val="1"/>
      <w:numFmt w:val="bullet"/>
      <w:lvlText w:val="●"/>
      <w:lvlJc w:val="left"/>
      <w:pPr>
        <w:ind w:left="6480" w:hanging="360"/>
      </w:pPr>
    </w:lvl>
  </w:abstractNum>
  <w:num w:numId="1" w16cid:durableId="1689598577">
    <w:abstractNumId w:val="1"/>
    <w:lvlOverride w:ilvl="0">
      <w:startOverride w:val="1"/>
    </w:lvlOverride>
  </w:num>
  <w:num w:numId="2" w16cid:durableId="98103471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3F8C"/>
    <w:rsid w:val="00A948E7"/>
    <w:rsid w:val="00E93F8C"/>
    <w:rsid w:val="00EC3FAE"/>
    <w:rsid w:val="00F17701"/>
    <w:rsid w:val="00F9610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7DA33"/>
  <w15:docId w15:val="{12E8270E-FDB7-4CD0-A339-2AB8E9177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Georgia" w:hAnsi="Georgia" w:cs="Georgia"/>
        <w:color w:val="1F2430"/>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A948E7"/>
    <w:pPr>
      <w:spacing w:after="100"/>
    </w:pPr>
  </w:style>
  <w:style w:type="paragraph" w:styleId="TOC2">
    <w:name w:val="toc 2"/>
    <w:basedOn w:val="Normal"/>
    <w:next w:val="Normal"/>
    <w:autoRedefine/>
    <w:uiPriority w:val="39"/>
    <w:unhideWhenUsed/>
    <w:rsid w:val="00A948E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TotalTime>
  <Pages>8</Pages>
  <Words>2144</Words>
  <Characters>14456</Characters>
  <Application>Microsoft Office Word</Application>
  <DocSecurity>0</DocSecurity>
  <Lines>289</Lines>
  <Paragraphs>136</Paragraphs>
  <ScaleCrop>false</ScaleCrop>
  <Company/>
  <LinksUpToDate>false</LinksUpToDate>
  <CharactersWithSpaces>16464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majid mazouchi</cp:lastModifiedBy>
  <cp:revision>3</cp:revision>
  <dcterms:created xsi:type="dcterms:W3CDTF">2026-07-06T01:23:00Z</dcterms:created>
  <dcterms:modified xsi:type="dcterms:W3CDTF">2026-07-06T13:24:00Z</dcterms:modified>
</cp:coreProperties>
</file>